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9110A" w14:textId="1174595B" w:rsidR="00F91402" w:rsidRPr="00F91402" w:rsidRDefault="00F91402" w:rsidP="00F91402">
      <w:pPr>
        <w:jc w:val="center"/>
        <w:rPr>
          <w:rFonts w:asciiTheme="minorHAnsi" w:hAnsiTheme="minorHAnsi" w:cstheme="minorHAnsi"/>
          <w:sz w:val="18"/>
          <w:szCs w:val="18"/>
          <w:u w:val="single"/>
        </w:rPr>
      </w:pPr>
      <w:r w:rsidRPr="00F91402">
        <w:rPr>
          <w:noProof/>
          <w:sz w:val="18"/>
          <w:szCs w:val="18"/>
        </w:rPr>
        <mc:AlternateContent>
          <mc:Choice Requires="wps">
            <w:drawing>
              <wp:anchor distT="0" distB="0" distL="114300" distR="114300" simplePos="0" relativeHeight="251663360" behindDoc="0" locked="0" layoutInCell="1" allowOverlap="1" wp14:anchorId="28FD1B94" wp14:editId="1117CB72">
                <wp:simplePos x="0" y="0"/>
                <wp:positionH relativeFrom="margin">
                  <wp:posOffset>5219065</wp:posOffset>
                </wp:positionH>
                <wp:positionV relativeFrom="paragraph">
                  <wp:posOffset>0</wp:posOffset>
                </wp:positionV>
                <wp:extent cx="942975" cy="685165"/>
                <wp:effectExtent l="0" t="0" r="28575" b="19685"/>
                <wp:wrapThrough wrapText="bothSides">
                  <wp:wrapPolygon edited="0">
                    <wp:start x="0" y="0"/>
                    <wp:lineTo x="0" y="21620"/>
                    <wp:lineTo x="21818" y="21620"/>
                    <wp:lineTo x="21818" y="0"/>
                    <wp:lineTo x="0" y="0"/>
                  </wp:wrapPolygon>
                </wp:wrapThrough>
                <wp:docPr id="1526453942" name="Rectangle 1526453942"/>
                <wp:cNvGraphicFramePr/>
                <a:graphic xmlns:a="http://schemas.openxmlformats.org/drawingml/2006/main">
                  <a:graphicData uri="http://schemas.microsoft.com/office/word/2010/wordprocessingShape">
                    <wps:wsp>
                      <wps:cNvSpPr/>
                      <wps:spPr>
                        <a:xfrm>
                          <a:off x="0" y="0"/>
                          <a:ext cx="942975" cy="685165"/>
                        </a:xfrm>
                        <a:prstGeom prst="rect">
                          <a:avLst/>
                        </a:prstGeom>
                        <a:solidFill>
                          <a:sysClr val="window" lastClr="FFFFFF"/>
                        </a:solidFill>
                        <a:ln w="25400" cap="flat" cmpd="sng" algn="ctr">
                          <a:solidFill>
                            <a:srgbClr val="FF0000"/>
                          </a:solidFill>
                          <a:prstDash val="solid"/>
                        </a:ln>
                        <a:effectLst/>
                      </wps:spPr>
                      <wps:txbx>
                        <w:txbxContent>
                          <w:p w14:paraId="3950F6DB" w14:textId="77777777" w:rsidR="00F91402" w:rsidRPr="00037E87" w:rsidRDefault="00F91402" w:rsidP="00F91402">
                            <w:pPr>
                              <w:rPr>
                                <w:color w:val="000000" w:themeColor="text1"/>
                                <w:sz w:val="20"/>
                                <w:szCs w:val="20"/>
                              </w:rPr>
                            </w:pPr>
                            <w:r w:rsidRPr="0058216A">
                              <w:rPr>
                                <w:color w:val="000000" w:themeColor="text1"/>
                                <w:sz w:val="20"/>
                                <w:szCs w:val="20"/>
                              </w:rPr>
                              <w:t>Client Logo</w:t>
                            </w:r>
                          </w:p>
                          <w:p w14:paraId="721AF6E3" w14:textId="77777777" w:rsidR="00F91402" w:rsidRPr="0058216A" w:rsidRDefault="00F91402" w:rsidP="00F91402">
                            <w:pPr>
                              <w:rPr>
                                <w:color w:val="000000" w:themeColor="text1"/>
                                <w:sz w:val="16"/>
                                <w:szCs w:val="16"/>
                              </w:rPr>
                            </w:pPr>
                            <w:r>
                              <w:rPr>
                                <w:color w:val="000000" w:themeColor="text1"/>
                                <w:sz w:val="16"/>
                                <w:szCs w:val="16"/>
                              </w:rPr>
                              <w:t>(if Client inserts here</w:t>
                            </w:r>
                            <w:r w:rsidRPr="0058216A">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D1B94" id="Rectangle 1526453942" o:spid="_x0000_s1026" style="position:absolute;left:0;text-align:left;margin-left:410.95pt;margin-top:0;width:74.25pt;height:53.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" fillcolor="window" strokecolor="red" strokeweight="2pt">
                <v:textbox>
                  <w:txbxContent>
                    <w:p w14:paraId="3950F6DB" w14:textId="77777777" w:rsidR="00F91402" w:rsidRPr="00037E87" w:rsidRDefault="00F91402" w:rsidP="00F91402">
                      <w:pPr>
                        <w:rPr>
                          <w:color w:val="000000" w:themeColor="text1"/>
                          <w:sz w:val="20"/>
                          <w:szCs w:val="20"/>
                        </w:rPr>
                      </w:pPr>
                      <w:r w:rsidRPr="0058216A">
                        <w:rPr>
                          <w:color w:val="000000" w:themeColor="text1"/>
                          <w:sz w:val="20"/>
                          <w:szCs w:val="20"/>
                        </w:rPr>
                        <w:t>Client Logo</w:t>
                      </w:r>
                    </w:p>
                    <w:p w14:paraId="721AF6E3" w14:textId="77777777" w:rsidR="00F91402" w:rsidRPr="0058216A" w:rsidRDefault="00F91402" w:rsidP="00F91402">
                      <w:pPr>
                        <w:rPr>
                          <w:color w:val="000000" w:themeColor="text1"/>
                          <w:sz w:val="16"/>
                          <w:szCs w:val="16"/>
                        </w:rPr>
                      </w:pPr>
                      <w:r>
                        <w:rPr>
                          <w:color w:val="000000" w:themeColor="text1"/>
                          <w:sz w:val="16"/>
                          <w:szCs w:val="16"/>
                        </w:rPr>
                        <w:t>(if Client inserts here</w:t>
                      </w:r>
                      <w:r w:rsidRPr="0058216A">
                        <w:rPr>
                          <w:color w:val="000000" w:themeColor="text1"/>
                          <w:sz w:val="16"/>
                          <w:szCs w:val="16"/>
                        </w:rPr>
                        <w:t>)</w:t>
                      </w:r>
                    </w:p>
                  </w:txbxContent>
                </v:textbox>
                <w10:wrap type="through" anchorx="margin"/>
              </v:rect>
            </w:pict>
          </mc:Fallback>
        </mc:AlternateContent>
      </w:r>
      <w:r w:rsidRPr="00F91402">
        <w:rPr>
          <w:sz w:val="18"/>
          <w:szCs w:val="18"/>
        </w:rPr>
        <w:t xml:space="preserve">                                </w:t>
      </w:r>
      <w:r w:rsidRPr="00F91402">
        <w:rPr>
          <w:rFonts w:asciiTheme="minorHAnsi" w:hAnsiTheme="minorHAnsi" w:cstheme="minorHAnsi"/>
          <w:sz w:val="18"/>
          <w:szCs w:val="18"/>
          <w:u w:val="single"/>
        </w:rPr>
        <w:t xml:space="preserve">PRE-ADVERSE ACTION NOTICE - REASON SPECIFIED CA </w:t>
      </w:r>
      <w:r w:rsidR="00A76818">
        <w:rPr>
          <w:rFonts w:asciiTheme="minorHAnsi" w:hAnsiTheme="minorHAnsi" w:cstheme="minorHAnsi"/>
          <w:sz w:val="18"/>
          <w:szCs w:val="18"/>
          <w:u w:val="single"/>
        </w:rPr>
        <w:t>and Los Angeles</w:t>
      </w:r>
    </w:p>
    <w:p w14:paraId="087F9862" w14:textId="77777777" w:rsidR="00F91402" w:rsidRPr="00F91402" w:rsidRDefault="00F91402" w:rsidP="00F91402">
      <w:pPr>
        <w:rPr>
          <w:rFonts w:asciiTheme="minorHAnsi" w:hAnsiTheme="minorHAnsi" w:cstheme="minorHAnsi"/>
          <w:sz w:val="18"/>
          <w:szCs w:val="18"/>
        </w:rPr>
      </w:pPr>
    </w:p>
    <w:p w14:paraId="2205A2DF" w14:textId="77777777" w:rsidR="00F91402" w:rsidRPr="00F91402" w:rsidRDefault="00F91402" w:rsidP="00F91402">
      <w:pPr>
        <w:rPr>
          <w:rFonts w:asciiTheme="minorHAnsi" w:hAnsiTheme="minorHAnsi" w:cstheme="minorHAnsi"/>
          <w:sz w:val="18"/>
          <w:szCs w:val="18"/>
        </w:rPr>
      </w:pPr>
      <w:r w:rsidRPr="00F91402">
        <w:rPr>
          <w:rFonts w:asciiTheme="minorHAnsi" w:hAnsiTheme="minorHAnsi" w:cstheme="minorHAnsi"/>
          <w:sz w:val="18"/>
          <w:szCs w:val="18"/>
        </w:rPr>
        <w:t>Date</w:t>
      </w:r>
    </w:p>
    <w:p w14:paraId="4D46127D" w14:textId="77777777" w:rsidR="00F91402" w:rsidRPr="00F91402" w:rsidRDefault="00F91402" w:rsidP="00F91402">
      <w:pPr>
        <w:rPr>
          <w:rFonts w:asciiTheme="minorHAnsi" w:hAnsiTheme="minorHAnsi" w:cstheme="minorHAnsi"/>
          <w:sz w:val="18"/>
          <w:szCs w:val="18"/>
        </w:rPr>
      </w:pPr>
    </w:p>
    <w:p w14:paraId="14401835" w14:textId="77777777" w:rsidR="00F91402" w:rsidRPr="00F91402" w:rsidRDefault="00F91402" w:rsidP="00F91402">
      <w:pPr>
        <w:rPr>
          <w:rFonts w:asciiTheme="minorHAnsi" w:hAnsiTheme="minorHAnsi" w:cstheme="minorHAnsi"/>
          <w:sz w:val="18"/>
          <w:szCs w:val="18"/>
        </w:rPr>
      </w:pPr>
    </w:p>
    <w:p w14:paraId="79ED7813" w14:textId="77777777" w:rsidR="00F91402" w:rsidRPr="00F91402" w:rsidRDefault="00F91402" w:rsidP="00F91402">
      <w:pPr>
        <w:rPr>
          <w:rFonts w:asciiTheme="minorHAnsi" w:hAnsiTheme="minorHAnsi" w:cstheme="minorHAnsi"/>
          <w:sz w:val="18"/>
          <w:szCs w:val="18"/>
        </w:rPr>
      </w:pPr>
      <w:r w:rsidRPr="00F91402">
        <w:rPr>
          <w:rFonts w:asciiTheme="minorHAnsi" w:hAnsiTheme="minorHAnsi" w:cstheme="minorHAnsi"/>
          <w:sz w:val="18"/>
          <w:szCs w:val="18"/>
        </w:rPr>
        <w:t xml:space="preserve">Dear </w:t>
      </w:r>
      <w:r w:rsidRPr="00F91402">
        <w:rPr>
          <w:rFonts w:asciiTheme="minorHAnsi" w:hAnsiTheme="minorHAnsi" w:cstheme="minorHAnsi"/>
          <w:b/>
          <w:sz w:val="18"/>
          <w:szCs w:val="18"/>
        </w:rPr>
        <w:t>_______________________</w:t>
      </w:r>
      <w:r w:rsidRPr="00F91402">
        <w:rPr>
          <w:rFonts w:asciiTheme="minorHAnsi" w:hAnsiTheme="minorHAnsi" w:cstheme="minorHAnsi"/>
          <w:sz w:val="18"/>
          <w:szCs w:val="18"/>
        </w:rPr>
        <w:t>:</w:t>
      </w:r>
    </w:p>
    <w:p w14:paraId="26247467" w14:textId="77777777" w:rsidR="00F91402" w:rsidRPr="00F91402" w:rsidRDefault="00F91402" w:rsidP="00F91402">
      <w:pPr>
        <w:rPr>
          <w:rFonts w:asciiTheme="minorHAnsi" w:hAnsiTheme="minorHAnsi" w:cstheme="minorHAnsi"/>
          <w:sz w:val="18"/>
          <w:szCs w:val="18"/>
        </w:rPr>
      </w:pPr>
    </w:p>
    <w:p w14:paraId="5F9264DD" w14:textId="77777777" w:rsidR="00F91402" w:rsidRPr="00F91402" w:rsidRDefault="00F91402" w:rsidP="00F91402">
      <w:pPr>
        <w:spacing w:after="240"/>
        <w:rPr>
          <w:rFonts w:asciiTheme="minorHAnsi" w:hAnsiTheme="minorHAnsi" w:cstheme="minorHAnsi"/>
          <w:sz w:val="18"/>
          <w:szCs w:val="18"/>
        </w:rPr>
      </w:pPr>
      <w:r w:rsidRPr="00F91402">
        <w:rPr>
          <w:rFonts w:asciiTheme="minorHAnsi" w:hAnsiTheme="minorHAnsi" w:cstheme="minorHAnsi"/>
          <w:sz w:val="18"/>
          <w:szCs w:val="18"/>
        </w:rPr>
        <w:t>You recently authorized [</w:t>
      </w:r>
      <w:r w:rsidRPr="00F91402">
        <w:rPr>
          <w:rFonts w:asciiTheme="minorHAnsi" w:hAnsiTheme="minorHAnsi" w:cstheme="minorHAnsi"/>
          <w:sz w:val="18"/>
          <w:szCs w:val="18"/>
          <w:highlight w:val="yellow"/>
        </w:rPr>
        <w:t>End User</w:t>
      </w:r>
      <w:r w:rsidRPr="00F91402">
        <w:rPr>
          <w:rFonts w:asciiTheme="minorHAnsi" w:hAnsiTheme="minorHAnsi" w:cstheme="minorHAnsi"/>
          <w:sz w:val="18"/>
          <w:szCs w:val="18"/>
        </w:rPr>
        <w:t>] (“Company”) to obtain consumer reports and/or investigative consumer reports (“background check reports”) about you from a consumer reporting agency.  The company is considering taking adverse action based on information in your background check report, including the following specific criminal history items identified in the report:</w:t>
      </w:r>
    </w:p>
    <w:p w14:paraId="0E345D23" w14:textId="77777777" w:rsidR="00F91402" w:rsidRPr="00F91402" w:rsidRDefault="00F91402" w:rsidP="00F91402">
      <w:pPr>
        <w:numPr>
          <w:ilvl w:val="0"/>
          <w:numId w:val="1"/>
        </w:numPr>
        <w:contextualSpacing/>
        <w:rPr>
          <w:rFonts w:asciiTheme="minorHAnsi" w:hAnsiTheme="minorHAnsi" w:cstheme="minorHAnsi"/>
          <w:sz w:val="18"/>
          <w:szCs w:val="18"/>
          <w:highlight w:val="yellow"/>
        </w:rPr>
      </w:pPr>
      <w:r w:rsidRPr="00F91402">
        <w:rPr>
          <w:rFonts w:asciiTheme="minorHAnsi" w:hAnsiTheme="minorHAnsi" w:cstheme="minorHAnsi"/>
          <w:sz w:val="18"/>
          <w:szCs w:val="18"/>
          <w:highlight w:val="yellow"/>
        </w:rPr>
        <w:t>[Identify specific criminal history Items]</w:t>
      </w:r>
    </w:p>
    <w:p w14:paraId="09E5BBF2" w14:textId="77777777" w:rsidR="00F91402" w:rsidRPr="00F91402" w:rsidRDefault="00F91402" w:rsidP="00F91402">
      <w:pPr>
        <w:rPr>
          <w:rFonts w:asciiTheme="minorHAnsi" w:hAnsiTheme="minorHAnsi" w:cstheme="minorHAnsi"/>
          <w:sz w:val="18"/>
          <w:szCs w:val="18"/>
        </w:rPr>
      </w:pPr>
    </w:p>
    <w:p w14:paraId="4D67D72E" w14:textId="77777777" w:rsidR="00F91402" w:rsidRPr="00F91402" w:rsidRDefault="00F91402" w:rsidP="00F91402">
      <w:pPr>
        <w:rPr>
          <w:rFonts w:asciiTheme="minorHAnsi" w:hAnsiTheme="minorHAnsi" w:cstheme="minorHAnsi"/>
          <w:sz w:val="18"/>
          <w:szCs w:val="18"/>
        </w:rPr>
      </w:pPr>
      <w:r w:rsidRPr="00F91402">
        <w:rPr>
          <w:rFonts w:asciiTheme="minorHAnsi" w:hAnsiTheme="minorHAnsi" w:cstheme="minorHAnsi"/>
          <w:sz w:val="18"/>
          <w:szCs w:val="18"/>
        </w:rPr>
        <w:t>Please find the following, enclosed or through the link below:</w:t>
      </w:r>
      <w:r w:rsidRPr="00F91402" w:rsidDel="00345E67">
        <w:rPr>
          <w:rFonts w:asciiTheme="minorHAnsi" w:hAnsiTheme="minorHAnsi" w:cstheme="minorHAnsi"/>
          <w:sz w:val="18"/>
          <w:szCs w:val="18"/>
        </w:rPr>
        <w:t xml:space="preserve"> </w:t>
      </w:r>
    </w:p>
    <w:p w14:paraId="23B6D641" w14:textId="77777777" w:rsidR="00F91402" w:rsidRPr="00F91402" w:rsidRDefault="00F91402" w:rsidP="00F91402">
      <w:pPr>
        <w:rPr>
          <w:rFonts w:asciiTheme="minorHAnsi" w:hAnsiTheme="minorHAnsi" w:cstheme="minorHAnsi"/>
          <w:sz w:val="18"/>
          <w:szCs w:val="18"/>
          <w:highlight w:val="yellow"/>
        </w:rPr>
      </w:pPr>
      <w:r w:rsidRPr="00F91402">
        <w:rPr>
          <w:rFonts w:asciiTheme="minorHAnsi" w:hAnsiTheme="minorHAnsi" w:cstheme="minorHAnsi"/>
          <w:sz w:val="18"/>
          <w:szCs w:val="18"/>
          <w:highlight w:val="yellow"/>
        </w:rPr>
        <w:t>[URL]</w:t>
      </w:r>
    </w:p>
    <w:p w14:paraId="04C6EC9E" w14:textId="77777777" w:rsidR="00FD4A8F" w:rsidRPr="00F91402" w:rsidRDefault="00FD4A8F" w:rsidP="00FD4A8F">
      <w:pPr>
        <w:numPr>
          <w:ilvl w:val="1"/>
          <w:numId w:val="5"/>
        </w:numPr>
        <w:contextualSpacing/>
        <w:rPr>
          <w:rFonts w:asciiTheme="minorHAnsi" w:hAnsiTheme="minorHAnsi" w:cstheme="minorHAnsi"/>
          <w:sz w:val="20"/>
          <w:szCs w:val="20"/>
          <w:highlight w:val="yellow"/>
        </w:rPr>
      </w:pPr>
      <w:r w:rsidRPr="00F91402">
        <w:rPr>
          <w:rFonts w:asciiTheme="minorHAnsi" w:hAnsiTheme="minorHAnsi" w:cstheme="minorHAnsi"/>
          <w:sz w:val="20"/>
          <w:szCs w:val="20"/>
          <w:highlight w:val="yellow"/>
        </w:rPr>
        <w:t>Consumer Report</w:t>
      </w:r>
    </w:p>
    <w:p w14:paraId="5E700E09" w14:textId="77777777" w:rsidR="00FD4A8F" w:rsidRPr="00F91402" w:rsidRDefault="00FD4A8F" w:rsidP="00FD4A8F">
      <w:pPr>
        <w:numPr>
          <w:ilvl w:val="1"/>
          <w:numId w:val="5"/>
        </w:numPr>
        <w:contextualSpacing/>
        <w:rPr>
          <w:rFonts w:asciiTheme="minorHAnsi" w:hAnsiTheme="minorHAnsi" w:cstheme="minorHAnsi"/>
          <w:sz w:val="20"/>
          <w:szCs w:val="20"/>
          <w:highlight w:val="yellow"/>
        </w:rPr>
      </w:pPr>
      <w:r w:rsidRPr="00F91402">
        <w:rPr>
          <w:rFonts w:asciiTheme="minorHAnsi" w:hAnsiTheme="minorHAnsi" w:cstheme="minorHAnsi"/>
          <w:sz w:val="20"/>
          <w:szCs w:val="20"/>
          <w:highlight w:val="yellow"/>
        </w:rPr>
        <w:t>A Summary of Your Rights Under the Fair Credit Reporting Act</w:t>
      </w:r>
    </w:p>
    <w:p w14:paraId="0BD768A8" w14:textId="77777777" w:rsidR="00FD4A8F" w:rsidRPr="00F91402" w:rsidRDefault="00FD4A8F" w:rsidP="00FD4A8F">
      <w:pPr>
        <w:numPr>
          <w:ilvl w:val="1"/>
          <w:numId w:val="5"/>
        </w:numPr>
        <w:contextualSpacing/>
        <w:rPr>
          <w:rFonts w:asciiTheme="minorHAnsi" w:hAnsiTheme="minorHAnsi" w:cstheme="minorHAnsi"/>
          <w:sz w:val="20"/>
          <w:szCs w:val="20"/>
          <w:highlight w:val="yellow"/>
        </w:rPr>
      </w:pPr>
      <w:r w:rsidRPr="00F91402">
        <w:rPr>
          <w:rFonts w:asciiTheme="minorHAnsi" w:hAnsiTheme="minorHAnsi" w:cstheme="minorHAnsi"/>
          <w:sz w:val="20"/>
          <w:szCs w:val="20"/>
          <w:highlight w:val="yellow"/>
        </w:rPr>
        <w:t>California Notice of Rights by an Investigative Consumer Reporting Agency</w:t>
      </w:r>
    </w:p>
    <w:p w14:paraId="669EA193" w14:textId="77777777" w:rsidR="00F91402" w:rsidRPr="00F91402" w:rsidRDefault="00F91402" w:rsidP="00F91402">
      <w:pPr>
        <w:rPr>
          <w:rFonts w:asciiTheme="minorHAnsi" w:hAnsiTheme="minorHAnsi" w:cstheme="minorHAnsi"/>
          <w:sz w:val="18"/>
          <w:szCs w:val="18"/>
        </w:rPr>
      </w:pPr>
    </w:p>
    <w:p w14:paraId="6EA968A7" w14:textId="77777777" w:rsidR="00F91402" w:rsidRPr="00F91402" w:rsidRDefault="00F91402" w:rsidP="00F91402">
      <w:pPr>
        <w:spacing w:after="240"/>
        <w:rPr>
          <w:rFonts w:asciiTheme="minorHAnsi" w:hAnsiTheme="minorHAnsi" w:cstheme="minorHAnsi"/>
          <w:sz w:val="18"/>
          <w:szCs w:val="18"/>
        </w:rPr>
      </w:pPr>
      <w:r w:rsidRPr="00F91402">
        <w:rPr>
          <w:rFonts w:asciiTheme="minorHAnsi" w:hAnsiTheme="minorHAnsi" w:cstheme="minorHAnsi"/>
          <w:sz w:val="18"/>
          <w:szCs w:val="18"/>
        </w:rPr>
        <w:t xml:space="preserve">The background check report was obtained from </w:t>
      </w:r>
      <w:r w:rsidRPr="00F91402">
        <w:rPr>
          <w:rFonts w:asciiTheme="minorHAnsi" w:hAnsiTheme="minorHAnsi" w:cstheme="minorHAnsi"/>
          <w:b/>
          <w:bCs/>
          <w:i/>
          <w:iCs/>
          <w:sz w:val="18"/>
          <w:szCs w:val="18"/>
        </w:rPr>
        <w:t>Accurate Background, LLC</w:t>
      </w:r>
      <w:r w:rsidRPr="00F91402">
        <w:rPr>
          <w:rFonts w:asciiTheme="minorHAnsi" w:hAnsiTheme="minorHAnsi" w:cstheme="minorHAnsi"/>
          <w:sz w:val="18"/>
          <w:szCs w:val="18"/>
        </w:rPr>
        <w:t xml:space="preserve"> (“</w:t>
      </w:r>
      <w:r w:rsidRPr="00F91402">
        <w:rPr>
          <w:rFonts w:asciiTheme="minorHAnsi" w:hAnsiTheme="minorHAnsi" w:cstheme="minorHAnsi"/>
          <w:i/>
          <w:iCs/>
          <w:sz w:val="18"/>
          <w:szCs w:val="18"/>
        </w:rPr>
        <w:t>Accurate</w:t>
      </w:r>
      <w:r w:rsidRPr="00F91402">
        <w:rPr>
          <w:rFonts w:asciiTheme="minorHAnsi" w:hAnsiTheme="minorHAnsi" w:cstheme="minorHAnsi"/>
          <w:sz w:val="18"/>
          <w:szCs w:val="18"/>
        </w:rPr>
        <w:t xml:space="preserve">”), located at </w:t>
      </w:r>
      <w:r w:rsidRPr="00F91402">
        <w:rPr>
          <w:rFonts w:asciiTheme="minorHAnsi" w:hAnsiTheme="minorHAnsi" w:cstheme="minorHAnsi"/>
          <w:b/>
          <w:bCs/>
          <w:sz w:val="18"/>
          <w:szCs w:val="18"/>
        </w:rPr>
        <w:t>200 Spectrum Center Dr. Suite 1100, Irvine, CA 92618</w:t>
      </w:r>
      <w:r w:rsidRPr="00F91402">
        <w:rPr>
          <w:rFonts w:asciiTheme="minorHAnsi" w:hAnsiTheme="minorHAnsi" w:cstheme="minorHAnsi"/>
          <w:sz w:val="18"/>
          <w:szCs w:val="18"/>
        </w:rPr>
        <w:t>, (800)-216-8024, (</w:t>
      </w:r>
      <w:hyperlink r:id="rId10" w:history="1">
        <w:r w:rsidRPr="00F91402">
          <w:rPr>
            <w:rStyle w:val="Hyperlink"/>
            <w:rFonts w:asciiTheme="minorHAnsi" w:hAnsiTheme="minorHAnsi" w:cstheme="minorHAnsi"/>
            <w:sz w:val="18"/>
            <w:szCs w:val="18"/>
          </w:rPr>
          <w:t>www.accurate.com</w:t>
        </w:r>
      </w:hyperlink>
      <w:r w:rsidRPr="00F91402">
        <w:rPr>
          <w:rFonts w:asciiTheme="minorHAnsi" w:hAnsiTheme="minorHAnsi" w:cstheme="minorHAnsi"/>
          <w:sz w:val="18"/>
          <w:szCs w:val="18"/>
        </w:rPr>
        <w:t xml:space="preserve">). If you wish to dispute the accuracy of the information in the report, please contact Accurate directly. </w:t>
      </w:r>
    </w:p>
    <w:p w14:paraId="7420D037" w14:textId="77777777" w:rsidR="00F91402" w:rsidRPr="00F91402" w:rsidRDefault="00F91402" w:rsidP="00F91402">
      <w:pPr>
        <w:contextualSpacing/>
        <w:rPr>
          <w:rFonts w:asciiTheme="minorHAnsi" w:hAnsiTheme="minorHAnsi" w:cstheme="minorHAnsi"/>
          <w:sz w:val="18"/>
          <w:szCs w:val="18"/>
        </w:rPr>
      </w:pPr>
      <w:r w:rsidRPr="00F91402">
        <w:rPr>
          <w:rFonts w:asciiTheme="minorHAnsi" w:hAnsiTheme="minorHAnsi" w:cstheme="minorHAnsi"/>
          <w:sz w:val="18"/>
          <w:szCs w:val="18"/>
        </w:rPr>
        <w:t>You have the right to respond to this notice.  If you believe there is additional information that may help us better evaluate your fitness for this position, including evidence challenging the accuracy of the conviction history information, evidence of rehabilitation or mitigating circumstances, or other supporting evidence or documents, please contact {</w:t>
      </w:r>
      <w:r w:rsidRPr="00F91402">
        <w:rPr>
          <w:rFonts w:asciiTheme="minorHAnsi" w:hAnsiTheme="minorHAnsi" w:cstheme="minorHAnsi"/>
          <w:sz w:val="18"/>
          <w:szCs w:val="18"/>
          <w:highlight w:val="yellow"/>
        </w:rPr>
        <w:t>END USER</w:t>
      </w:r>
      <w:r w:rsidRPr="00F91402">
        <w:rPr>
          <w:rFonts w:asciiTheme="minorHAnsi" w:hAnsiTheme="minorHAnsi" w:cstheme="minorHAnsi"/>
          <w:sz w:val="18"/>
          <w:szCs w:val="18"/>
        </w:rPr>
        <w:t xml:space="preserve">} immediately.  We will evaluate any information you provide and the information in your report in accordance with applicable law. </w:t>
      </w:r>
    </w:p>
    <w:p w14:paraId="29E0D06F" w14:textId="77777777" w:rsidR="00F91402" w:rsidRPr="00F91402" w:rsidRDefault="00F91402" w:rsidP="00F91402">
      <w:pPr>
        <w:contextualSpacing/>
        <w:rPr>
          <w:rFonts w:asciiTheme="minorHAnsi" w:hAnsiTheme="minorHAnsi" w:cstheme="minorHAnsi"/>
          <w:sz w:val="18"/>
          <w:szCs w:val="18"/>
        </w:rPr>
      </w:pPr>
    </w:p>
    <w:p w14:paraId="30A8EEF1" w14:textId="77777777" w:rsidR="00F91402" w:rsidRPr="00F91402" w:rsidRDefault="00F91402" w:rsidP="00F91402">
      <w:pPr>
        <w:contextualSpacing/>
        <w:rPr>
          <w:rFonts w:asciiTheme="minorHAnsi" w:hAnsiTheme="minorHAnsi" w:cstheme="minorHAnsi"/>
          <w:sz w:val="18"/>
          <w:szCs w:val="18"/>
        </w:rPr>
      </w:pPr>
      <w:r w:rsidRPr="00F91402">
        <w:rPr>
          <w:rFonts w:asciiTheme="minorHAnsi" w:hAnsiTheme="minorHAnsi" w:cstheme="minorHAnsi"/>
          <w:b/>
          <w:bCs/>
          <w:sz w:val="18"/>
          <w:szCs w:val="18"/>
          <w:u w:val="single"/>
        </w:rPr>
        <w:t>Deadline to Respond</w:t>
      </w:r>
      <w:r w:rsidRPr="00F91402">
        <w:rPr>
          <w:rFonts w:asciiTheme="minorHAnsi" w:hAnsiTheme="minorHAnsi" w:cstheme="minorHAnsi"/>
          <w:sz w:val="18"/>
          <w:szCs w:val="18"/>
        </w:rPr>
        <w:t>: If we do not hear from you within</w:t>
      </w:r>
      <w:r w:rsidRPr="00F91402">
        <w:rPr>
          <w:rFonts w:asciiTheme="minorHAnsi" w:hAnsiTheme="minorHAnsi" w:cstheme="minorHAnsi"/>
          <w:sz w:val="18"/>
          <w:szCs w:val="18"/>
          <w:u w:val="single"/>
        </w:rPr>
        <w:t xml:space="preserve"> </w:t>
      </w:r>
      <w:r w:rsidRPr="00F91402">
        <w:rPr>
          <w:rFonts w:asciiTheme="minorHAnsi" w:hAnsiTheme="minorHAnsi" w:cstheme="minorHAnsi"/>
          <w:sz w:val="18"/>
          <w:szCs w:val="18"/>
          <w:highlight w:val="yellow"/>
          <w:u w:val="single"/>
        </w:rPr>
        <w:t>[AdverseLength]</w:t>
      </w:r>
      <w:r w:rsidRPr="00F91402">
        <w:rPr>
          <w:rFonts w:asciiTheme="minorHAnsi" w:hAnsiTheme="minorHAnsi" w:cstheme="minorHAnsi"/>
          <w:sz w:val="18"/>
          <w:szCs w:val="18"/>
          <w:u w:val="single"/>
        </w:rPr>
        <w:t xml:space="preserve"> </w:t>
      </w:r>
      <w:r w:rsidRPr="00F91402">
        <w:rPr>
          <w:rFonts w:asciiTheme="minorHAnsi" w:hAnsiTheme="minorHAnsi" w:cstheme="minorHAnsi"/>
          <w:b/>
          <w:bCs/>
          <w:sz w:val="18"/>
          <w:szCs w:val="18"/>
          <w:u w:val="single"/>
        </w:rPr>
        <w:t>BUSINESS DAYS FROM THE DATE THAT YOU RECEIVE THIS NOTICE, OR within the time period listed below</w:t>
      </w:r>
      <w:r w:rsidRPr="00F91402">
        <w:rPr>
          <w:rFonts w:asciiTheme="minorHAnsi" w:hAnsiTheme="minorHAnsi" w:cstheme="minorHAnsi"/>
          <w:b/>
          <w:bCs/>
          <w:sz w:val="18"/>
          <w:szCs w:val="18"/>
        </w:rPr>
        <w:t>, we will make our hiring determination based on the information currently available to us</w:t>
      </w:r>
      <w:r w:rsidRPr="00F91402">
        <w:rPr>
          <w:rFonts w:asciiTheme="minorHAnsi" w:hAnsiTheme="minorHAnsi" w:cstheme="minorHAnsi"/>
          <w:b/>
          <w:bCs/>
          <w:sz w:val="18"/>
          <w:szCs w:val="18"/>
          <w:u w:val="single"/>
        </w:rPr>
        <w:t>.</w:t>
      </w:r>
      <w:r w:rsidRPr="00F91402">
        <w:rPr>
          <w:rFonts w:asciiTheme="minorHAnsi" w:hAnsiTheme="minorHAnsi" w:cstheme="minorHAnsi"/>
          <w:sz w:val="18"/>
          <w:szCs w:val="18"/>
        </w:rPr>
        <w:t xml:space="preserve">  </w:t>
      </w:r>
    </w:p>
    <w:p w14:paraId="5BE36B5E" w14:textId="77777777" w:rsidR="00F91402" w:rsidRPr="00F91402" w:rsidRDefault="00F91402" w:rsidP="00F91402">
      <w:pPr>
        <w:contextualSpacing/>
        <w:rPr>
          <w:rFonts w:asciiTheme="minorHAnsi" w:hAnsiTheme="minorHAnsi" w:cstheme="minorHAnsi"/>
          <w:sz w:val="18"/>
          <w:szCs w:val="18"/>
        </w:rPr>
      </w:pPr>
    </w:p>
    <w:p w14:paraId="3E9ACA7E" w14:textId="77777777" w:rsidR="00F91402" w:rsidRPr="00F91402" w:rsidRDefault="00F91402" w:rsidP="00F91402">
      <w:pPr>
        <w:pStyle w:val="Bullet1"/>
        <w:rPr>
          <w:rFonts w:asciiTheme="minorHAnsi" w:hAnsiTheme="minorHAnsi" w:cstheme="minorHAnsi"/>
          <w:sz w:val="18"/>
          <w:szCs w:val="18"/>
        </w:rPr>
      </w:pPr>
      <w:bookmarkStart w:id="0" w:name="_Hlk173145239"/>
      <w:r w:rsidRPr="00F91402">
        <w:rPr>
          <w:rFonts w:asciiTheme="minorHAnsi" w:hAnsiTheme="minorHAnsi" w:cstheme="minorHAnsi"/>
          <w:b/>
          <w:bCs/>
          <w:sz w:val="18"/>
          <w:szCs w:val="18"/>
        </w:rPr>
        <w:t xml:space="preserve">California applicants and residents outside of unincorporated Los Angeles County: </w:t>
      </w:r>
    </w:p>
    <w:p w14:paraId="53571957" w14:textId="77777777" w:rsidR="00F91402" w:rsidRDefault="00F91402" w:rsidP="00F91402">
      <w:pPr>
        <w:pStyle w:val="Bullet2"/>
        <w:rPr>
          <w:rFonts w:asciiTheme="minorHAnsi" w:hAnsiTheme="minorHAnsi" w:cstheme="minorHAnsi"/>
          <w:sz w:val="18"/>
          <w:szCs w:val="18"/>
        </w:rPr>
      </w:pPr>
      <w:r w:rsidRPr="00F91402">
        <w:rPr>
          <w:rFonts w:asciiTheme="minorHAnsi" w:hAnsiTheme="minorHAnsi" w:cstheme="minorHAnsi"/>
          <w:sz w:val="18"/>
          <w:szCs w:val="18"/>
        </w:rPr>
        <w:t xml:space="preserve">If you advise us within the </w:t>
      </w:r>
      <w:r w:rsidRPr="00F91402">
        <w:rPr>
          <w:rFonts w:asciiTheme="minorHAnsi" w:hAnsiTheme="minorHAnsi" w:cstheme="minorHAnsi"/>
          <w:b/>
          <w:bCs/>
          <w:sz w:val="18"/>
          <w:szCs w:val="18"/>
        </w:rPr>
        <w:t>next five (5) business days</w:t>
      </w:r>
      <w:r w:rsidRPr="00F91402">
        <w:rPr>
          <w:rFonts w:asciiTheme="minorHAnsi" w:hAnsiTheme="minorHAnsi" w:cstheme="minorHAnsi"/>
          <w:sz w:val="18"/>
          <w:szCs w:val="18"/>
        </w:rPr>
        <w:t xml:space="preserve"> that the criminal record information is inaccurate and that you are obtaining supporting documentation, you will be given </w:t>
      </w:r>
      <w:r w:rsidRPr="00F91402">
        <w:rPr>
          <w:rFonts w:asciiTheme="minorHAnsi" w:hAnsiTheme="minorHAnsi" w:cstheme="minorHAnsi"/>
          <w:b/>
          <w:bCs/>
          <w:sz w:val="18"/>
          <w:szCs w:val="18"/>
        </w:rPr>
        <w:t>an additional five (5) business days</w:t>
      </w:r>
      <w:r w:rsidRPr="00F91402">
        <w:rPr>
          <w:rFonts w:asciiTheme="minorHAnsi" w:hAnsiTheme="minorHAnsi" w:cstheme="minorHAnsi"/>
          <w:sz w:val="18"/>
          <w:szCs w:val="18"/>
        </w:rPr>
        <w:t xml:space="preserve"> to provide us with that information.</w:t>
      </w:r>
    </w:p>
    <w:p w14:paraId="04B13B15" w14:textId="77777777" w:rsidR="00041A3F" w:rsidRPr="001A1B55" w:rsidRDefault="00041A3F" w:rsidP="00041A3F">
      <w:pPr>
        <w:pStyle w:val="Bullet1"/>
        <w:rPr>
          <w:rFonts w:asciiTheme="minorHAnsi" w:hAnsiTheme="minorHAnsi" w:cstheme="minorHAnsi"/>
          <w:b/>
          <w:bCs/>
          <w:sz w:val="18"/>
          <w:szCs w:val="18"/>
          <w:u w:val="single"/>
        </w:rPr>
      </w:pPr>
      <w:r w:rsidRPr="001A1B55">
        <w:rPr>
          <w:rFonts w:asciiTheme="minorHAnsi" w:hAnsiTheme="minorHAnsi" w:cstheme="minorHAnsi"/>
          <w:b/>
          <w:bCs/>
          <w:sz w:val="18"/>
          <w:szCs w:val="18"/>
          <w:u w:val="single"/>
        </w:rPr>
        <w:t>APPLICANTS FOR EMPLOYMENT IN UNINCORPORATED SAN DIEGO COUNTY:</w:t>
      </w:r>
    </w:p>
    <w:p w14:paraId="323FAF62" w14:textId="50D2D7A5" w:rsidR="00041A3F" w:rsidRPr="00041A3F" w:rsidRDefault="00041A3F" w:rsidP="00041A3F">
      <w:pPr>
        <w:pStyle w:val="Bullet2"/>
        <w:rPr>
          <w:rFonts w:asciiTheme="minorHAnsi" w:hAnsiTheme="minorHAnsi" w:cstheme="minorHAnsi"/>
          <w:sz w:val="18"/>
          <w:szCs w:val="18"/>
        </w:rPr>
      </w:pPr>
      <w:r w:rsidRPr="001A1B55">
        <w:rPr>
          <w:rFonts w:asciiTheme="minorHAnsi" w:hAnsiTheme="minorHAnsi" w:cstheme="minorHAnsi"/>
          <w:sz w:val="18"/>
          <w:szCs w:val="18"/>
        </w:rPr>
        <w:t>You have the right to file a complaint with OLSE for violation of the County’s Fair Chance Ordinance, and with the state’s Civil Rights Department for violation of the Fair Chance Act.</w:t>
      </w:r>
    </w:p>
    <w:bookmarkEnd w:id="0"/>
    <w:p w14:paraId="4F740914" w14:textId="77777777" w:rsidR="00F91402" w:rsidRPr="00F91402" w:rsidRDefault="00F91402" w:rsidP="00F91402">
      <w:pPr>
        <w:pStyle w:val="Bullet1"/>
        <w:rPr>
          <w:rFonts w:asciiTheme="minorHAnsi" w:hAnsiTheme="minorHAnsi" w:cstheme="minorHAnsi"/>
          <w:b/>
          <w:bCs/>
          <w:sz w:val="18"/>
          <w:szCs w:val="18"/>
          <w:u w:val="single"/>
        </w:rPr>
      </w:pPr>
      <w:r w:rsidRPr="00F91402">
        <w:rPr>
          <w:rFonts w:asciiTheme="minorHAnsi" w:hAnsiTheme="minorHAnsi" w:cstheme="minorHAnsi"/>
          <w:b/>
          <w:bCs/>
          <w:sz w:val="18"/>
          <w:szCs w:val="18"/>
          <w:u w:val="single"/>
        </w:rPr>
        <w:t xml:space="preserve">APPLICANTS FOR EMPLOYMENT IN UNINCORPORATED LOS ANGELES COUNTY: </w:t>
      </w:r>
    </w:p>
    <w:p w14:paraId="318D2260" w14:textId="77777777" w:rsidR="00F91402" w:rsidRPr="00F91402" w:rsidRDefault="00F91402" w:rsidP="00F91402">
      <w:pPr>
        <w:pStyle w:val="Bullet2"/>
        <w:contextualSpacing/>
        <w:rPr>
          <w:rFonts w:asciiTheme="minorHAnsi" w:hAnsiTheme="minorHAnsi" w:cstheme="minorHAnsi"/>
          <w:b/>
          <w:bCs/>
          <w:sz w:val="18"/>
          <w:szCs w:val="18"/>
        </w:rPr>
      </w:pPr>
      <w:r w:rsidRPr="00F91402">
        <w:rPr>
          <w:rFonts w:asciiTheme="minorHAnsi" w:hAnsiTheme="minorHAnsi" w:cstheme="minorHAnsi"/>
          <w:b/>
          <w:bCs/>
          <w:sz w:val="18"/>
          <w:szCs w:val="18"/>
          <w:u w:val="single"/>
        </w:rPr>
        <w:t>IF YOU ADVISE US WITHIN THE NEXT FIVE (5) BUSINESS DAYS THAT THE CRIMINAL RECORD INFORMATION IS INACCURATE AND THAT YOU ARE OBTAINING SUPPORTING DOCUMENTATION OR</w:t>
      </w:r>
      <w:r w:rsidRPr="00F91402">
        <w:rPr>
          <w:rFonts w:asciiTheme="minorHAnsi" w:hAnsiTheme="minorHAnsi" w:cstheme="minorHAnsi"/>
          <w:sz w:val="18"/>
          <w:szCs w:val="18"/>
          <w:u w:val="single"/>
        </w:rPr>
        <w:t xml:space="preserve"> </w:t>
      </w:r>
      <w:r w:rsidRPr="00F91402">
        <w:rPr>
          <w:rFonts w:asciiTheme="minorHAnsi" w:hAnsiTheme="minorHAnsi" w:cstheme="minorHAnsi"/>
          <w:b/>
          <w:bCs/>
          <w:sz w:val="18"/>
          <w:szCs w:val="18"/>
          <w:u w:val="single"/>
        </w:rPr>
        <w:t>THAT YOU NEED ADDITIONAL TIME TO OBTAIN EVIDENCE OF REHABILITATION OR MITIGATING CIRCUMSTANCES, YOU WILL BE GIVEN AN ADDITIONAL 10 BUSINESS DAYS TO PROVIDE US WITH THAT INFORMATION</w:t>
      </w:r>
      <w:r w:rsidRPr="00F91402">
        <w:rPr>
          <w:rFonts w:asciiTheme="minorHAnsi" w:hAnsiTheme="minorHAnsi" w:cstheme="minorHAnsi"/>
          <w:b/>
          <w:bCs/>
          <w:sz w:val="18"/>
          <w:szCs w:val="18"/>
        </w:rPr>
        <w:t>.</w:t>
      </w:r>
    </w:p>
    <w:p w14:paraId="0E6C9C1D" w14:textId="77777777" w:rsidR="00F91402" w:rsidRPr="00F91402" w:rsidRDefault="00F91402" w:rsidP="00F91402">
      <w:pPr>
        <w:pStyle w:val="Bullet2"/>
        <w:numPr>
          <w:ilvl w:val="0"/>
          <w:numId w:val="0"/>
        </w:numPr>
        <w:ind w:left="1080"/>
        <w:contextualSpacing/>
        <w:rPr>
          <w:rFonts w:asciiTheme="minorHAnsi" w:hAnsiTheme="minorHAnsi" w:cstheme="minorHAnsi"/>
          <w:b/>
          <w:bCs/>
          <w:sz w:val="18"/>
          <w:szCs w:val="18"/>
        </w:rPr>
      </w:pPr>
    </w:p>
    <w:p w14:paraId="77ADB2D6" w14:textId="77777777" w:rsidR="00F91402" w:rsidRPr="00F91402" w:rsidRDefault="00F91402" w:rsidP="00F91402">
      <w:pPr>
        <w:pStyle w:val="Bullet2"/>
        <w:contextualSpacing/>
        <w:rPr>
          <w:rFonts w:asciiTheme="minorHAnsi" w:hAnsiTheme="minorHAnsi" w:cstheme="minorHAnsi"/>
          <w:sz w:val="18"/>
          <w:szCs w:val="18"/>
        </w:rPr>
      </w:pPr>
      <w:r w:rsidRPr="00F91402">
        <w:rPr>
          <w:rFonts w:asciiTheme="minorHAnsi" w:hAnsiTheme="minorHAnsi" w:cstheme="minorHAnsi"/>
          <w:sz w:val="18"/>
          <w:szCs w:val="18"/>
        </w:rPr>
        <w:t>In lieu of providing written documentation in response to this letter, you have the right to present your information orally via an in-person, virtual, or phone meeting by making such a request within five (5) business days from receipt of this letter.</w:t>
      </w:r>
    </w:p>
    <w:p w14:paraId="5DB2C5AF" w14:textId="285BD7EA" w:rsidR="00F91402" w:rsidRPr="00F91402" w:rsidRDefault="00F91402" w:rsidP="00F91402">
      <w:pPr>
        <w:contextualSpacing/>
        <w:rPr>
          <w:rFonts w:asciiTheme="minorHAnsi" w:hAnsiTheme="minorHAnsi" w:cstheme="minorHAnsi"/>
          <w:sz w:val="18"/>
          <w:szCs w:val="18"/>
        </w:rPr>
      </w:pPr>
      <w:r w:rsidRPr="00F91402">
        <w:rPr>
          <w:rFonts w:asciiTheme="minorHAnsi" w:hAnsiTheme="minorHAnsi" w:cstheme="minorHAnsi"/>
          <w:sz w:val="18"/>
          <w:szCs w:val="18"/>
        </w:rPr>
        <w:lastRenderedPageBreak/>
        <w:t xml:space="preserve">In the event an adverse employment decision is made following the Company’s evaluation and assessment, [End User] will provide you notice of such action. </w:t>
      </w:r>
    </w:p>
    <w:p w14:paraId="2E56B3DA" w14:textId="77777777" w:rsidR="00F91402" w:rsidRPr="00F91402" w:rsidRDefault="00F91402" w:rsidP="00F91402">
      <w:pPr>
        <w:rPr>
          <w:rFonts w:asciiTheme="minorHAnsi" w:hAnsiTheme="minorHAnsi" w:cstheme="minorHAnsi"/>
          <w:sz w:val="18"/>
          <w:szCs w:val="18"/>
        </w:rPr>
      </w:pPr>
    </w:p>
    <w:p w14:paraId="515CC8B7" w14:textId="7B2B5B1F" w:rsidR="00F91402" w:rsidRPr="00F91402" w:rsidRDefault="00F91402" w:rsidP="00F91402">
      <w:pPr>
        <w:rPr>
          <w:rFonts w:asciiTheme="minorHAnsi" w:hAnsiTheme="minorHAnsi" w:cstheme="minorHAnsi"/>
          <w:sz w:val="18"/>
          <w:szCs w:val="18"/>
        </w:rPr>
      </w:pPr>
      <w:r w:rsidRPr="00F91402">
        <w:rPr>
          <w:rFonts w:asciiTheme="minorHAnsi" w:hAnsiTheme="minorHAnsi" w:cstheme="minorHAnsi"/>
          <w:sz w:val="18"/>
          <w:szCs w:val="18"/>
        </w:rPr>
        <w:t>Sincerely,</w:t>
      </w:r>
      <w:r w:rsidRPr="00F91402">
        <w:rPr>
          <w:rFonts w:asciiTheme="minorHAnsi" w:hAnsiTheme="minorHAnsi" w:cstheme="minorHAnsi"/>
          <w:sz w:val="18"/>
          <w:szCs w:val="18"/>
        </w:rPr>
        <w:br/>
      </w:r>
      <w:r w:rsidRPr="00F91402">
        <w:rPr>
          <w:rFonts w:asciiTheme="minorHAnsi" w:hAnsiTheme="minorHAnsi" w:cstheme="minorHAnsi"/>
          <w:sz w:val="18"/>
          <w:szCs w:val="18"/>
        </w:rPr>
        <w:br/>
        <w:t>[</w:t>
      </w:r>
      <w:r w:rsidRPr="00F91402">
        <w:rPr>
          <w:rFonts w:asciiTheme="minorHAnsi" w:hAnsiTheme="minorHAnsi" w:cstheme="minorHAnsi"/>
          <w:sz w:val="18"/>
          <w:szCs w:val="18"/>
          <w:highlight w:val="yellow"/>
        </w:rPr>
        <w:t>End User</w:t>
      </w:r>
      <w:r w:rsidRPr="00F91402">
        <w:rPr>
          <w:rFonts w:asciiTheme="minorHAnsi" w:hAnsiTheme="minorHAnsi" w:cstheme="minorHAnsi"/>
          <w:sz w:val="18"/>
          <w:szCs w:val="18"/>
        </w:rPr>
        <w:t>]</w:t>
      </w:r>
    </w:p>
    <w:sectPr w:rsidR="00F91402" w:rsidRPr="00F91402" w:rsidSect="006F48E0">
      <w:headerReference w:type="default" r:id="rId11"/>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7BB49" w14:textId="77777777" w:rsidR="001F3F87" w:rsidRDefault="001F3F87" w:rsidP="00F05354">
      <w:r>
        <w:separator/>
      </w:r>
    </w:p>
  </w:endnote>
  <w:endnote w:type="continuationSeparator" w:id="0">
    <w:p w14:paraId="5CDA611B" w14:textId="77777777" w:rsidR="001F3F87" w:rsidRDefault="001F3F87" w:rsidP="00F0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2FCF2" w14:textId="77777777" w:rsidR="001F3F87" w:rsidRDefault="001F3F87" w:rsidP="00F05354">
      <w:r>
        <w:separator/>
      </w:r>
    </w:p>
  </w:footnote>
  <w:footnote w:type="continuationSeparator" w:id="0">
    <w:p w14:paraId="31C7F42C" w14:textId="77777777" w:rsidR="001F3F87" w:rsidRDefault="001F3F87" w:rsidP="00F0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F4BD" w14:textId="3B055BEF" w:rsidR="009C1AE7" w:rsidRPr="009C1AE7" w:rsidRDefault="009C1AE7" w:rsidP="009C1AE7">
    <w:pPr>
      <w:tabs>
        <w:tab w:val="center" w:pos="4320"/>
        <w:tab w:val="right" w:pos="8640"/>
      </w:tabs>
      <w:jc w:val="both"/>
      <w:rPr>
        <w:rFonts w:ascii="Calibri" w:hAnsi="Calibri"/>
        <w:b/>
        <w:i/>
        <w:sz w:val="16"/>
        <w:szCs w:val="16"/>
      </w:rPr>
    </w:pPr>
    <w:r>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1F65E5D6" w14:textId="77777777" w:rsidR="009C1AE7" w:rsidRDefault="009C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7131"/>
    <w:multiLevelType w:val="multilevel"/>
    <w:tmpl w:val="0FF20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C101A5"/>
    <w:multiLevelType w:val="hybridMultilevel"/>
    <w:tmpl w:val="6940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668A2"/>
    <w:multiLevelType w:val="multilevel"/>
    <w:tmpl w:val="CD4ED1D4"/>
    <w:name w:val="*BulletScheme"/>
    <w:lvl w:ilvl="0">
      <w:start w:val="1"/>
      <w:numFmt w:val="bullet"/>
      <w:pStyle w:val="Bullet1"/>
      <w:lvlText w:val=""/>
      <w:lvlJc w:val="left"/>
      <w:pPr>
        <w:ind w:left="720" w:hanging="720"/>
      </w:pPr>
      <w:rPr>
        <w:rFonts w:ascii="Symbol" w:hAnsi="Symbol" w:hint="default"/>
        <w:b w:val="0"/>
        <w:i w:val="0"/>
        <w:sz w:val="24"/>
      </w:rPr>
    </w:lvl>
    <w:lvl w:ilvl="1">
      <w:start w:val="1"/>
      <w:numFmt w:val="bullet"/>
      <w:pStyle w:val="Bullet2"/>
      <w:lvlText w:val=""/>
      <w:lvlJc w:val="left"/>
      <w:pPr>
        <w:ind w:left="1080" w:hanging="360"/>
      </w:pPr>
      <w:rPr>
        <w:rFonts w:ascii="Wingdings" w:hAnsi="Wingdings" w:hint="default"/>
      </w:rPr>
    </w:lvl>
    <w:lvl w:ilvl="2">
      <w:start w:val="1"/>
      <w:numFmt w:val="bullet"/>
      <w:lvlRestart w:val="0"/>
      <w:pStyle w:val="Bullet3"/>
      <w:lvlText w:val=""/>
      <w:lvlJc w:val="left"/>
      <w:pPr>
        <w:ind w:left="2160" w:hanging="720"/>
      </w:pPr>
      <w:rPr>
        <w:rFonts w:ascii="Symbol" w:hAnsi="Symbol" w:hint="default"/>
        <w:b w:val="0"/>
        <w:i w:val="0"/>
        <w:sz w:val="24"/>
      </w:rPr>
    </w:lvl>
    <w:lvl w:ilvl="3">
      <w:start w:val="1"/>
      <w:numFmt w:val="bullet"/>
      <w:lvlRestart w:val="0"/>
      <w:pStyle w:val="Bullet4"/>
      <w:lvlText w:val=""/>
      <w:lvlJc w:val="left"/>
      <w:pPr>
        <w:ind w:left="2880" w:hanging="720"/>
      </w:pPr>
      <w:rPr>
        <w:rFonts w:ascii="Symbol" w:hAnsi="Symbol" w:hint="default"/>
      </w:rPr>
    </w:lvl>
    <w:lvl w:ilvl="4">
      <w:start w:val="1"/>
      <w:numFmt w:val="bullet"/>
      <w:lvlRestart w:val="0"/>
      <w:pStyle w:val="Bullet5"/>
      <w:lvlText w:val=""/>
      <w:lvlJc w:val="left"/>
      <w:pPr>
        <w:ind w:left="3600" w:hanging="720"/>
      </w:pPr>
      <w:rPr>
        <w:rFonts w:ascii="Symbol" w:hAnsi="Symbol" w:hint="default"/>
      </w:rPr>
    </w:lvl>
    <w:lvl w:ilvl="5">
      <w:start w:val="1"/>
      <w:numFmt w:val="bullet"/>
      <w:lvlRestart w:val="0"/>
      <w:pStyle w:val="Bullet6"/>
      <w:lvlText w:val=""/>
      <w:lvlJc w:val="left"/>
      <w:pPr>
        <w:ind w:left="4320" w:hanging="720"/>
      </w:pPr>
      <w:rPr>
        <w:rFonts w:ascii="Symbol" w:hAnsi="Symbol" w:hint="default"/>
      </w:rPr>
    </w:lvl>
    <w:lvl w:ilvl="6">
      <w:start w:val="1"/>
      <w:numFmt w:val="bullet"/>
      <w:lvlRestart w:val="0"/>
      <w:pStyle w:val="Bullet7"/>
      <w:lvlText w:val=""/>
      <w:lvlJc w:val="left"/>
      <w:pPr>
        <w:ind w:left="5040" w:hanging="720"/>
      </w:pPr>
      <w:rPr>
        <w:rFonts w:ascii="Symbol" w:hAnsi="Symbol" w:hint="default"/>
      </w:rPr>
    </w:lvl>
    <w:lvl w:ilvl="7">
      <w:start w:val="1"/>
      <w:numFmt w:val="bullet"/>
      <w:lvlRestart w:val="0"/>
      <w:pStyle w:val="Bullet8"/>
      <w:lvlText w:val=""/>
      <w:lvlJc w:val="left"/>
      <w:pPr>
        <w:ind w:left="5760" w:hanging="720"/>
      </w:pPr>
      <w:rPr>
        <w:rFonts w:ascii="Symbol" w:hAnsi="Symbol" w:hint="default"/>
      </w:rPr>
    </w:lvl>
    <w:lvl w:ilvl="8">
      <w:start w:val="1"/>
      <w:numFmt w:val="bullet"/>
      <w:lvlRestart w:val="0"/>
      <w:pStyle w:val="Bullet9"/>
      <w:lvlText w:val=""/>
      <w:lvlJc w:val="left"/>
      <w:pPr>
        <w:ind w:left="6480" w:hanging="720"/>
      </w:pPr>
      <w:rPr>
        <w:rFonts w:ascii="Symbol" w:hAnsi="Symbol" w:hint="default"/>
      </w:rPr>
    </w:lvl>
  </w:abstractNum>
  <w:abstractNum w:abstractNumId="3" w15:restartNumberingAfterBreak="0">
    <w:nsid w:val="3A4A5F67"/>
    <w:multiLevelType w:val="multilevel"/>
    <w:tmpl w:val="0FF20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FF56BF5"/>
    <w:multiLevelType w:val="hybridMultilevel"/>
    <w:tmpl w:val="A636D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301916">
    <w:abstractNumId w:val="1"/>
  </w:num>
  <w:num w:numId="2" w16cid:durableId="1297298771">
    <w:abstractNumId w:val="4"/>
  </w:num>
  <w:num w:numId="3" w16cid:durableId="1374038404">
    <w:abstractNumId w:val="3"/>
  </w:num>
  <w:num w:numId="4" w16cid:durableId="1647123013">
    <w:abstractNumId w:val="2"/>
  </w:num>
  <w:num w:numId="5" w16cid:durableId="91154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2B"/>
    <w:rsid w:val="00011FD2"/>
    <w:rsid w:val="00041A3F"/>
    <w:rsid w:val="000636EF"/>
    <w:rsid w:val="00083BC6"/>
    <w:rsid w:val="00106E9E"/>
    <w:rsid w:val="00140F25"/>
    <w:rsid w:val="001627B1"/>
    <w:rsid w:val="001A1B55"/>
    <w:rsid w:val="001B6CA4"/>
    <w:rsid w:val="001F1940"/>
    <w:rsid w:val="001F3F87"/>
    <w:rsid w:val="002335EE"/>
    <w:rsid w:val="00242213"/>
    <w:rsid w:val="0026392B"/>
    <w:rsid w:val="00394B50"/>
    <w:rsid w:val="003D53E8"/>
    <w:rsid w:val="00513CD4"/>
    <w:rsid w:val="0057729B"/>
    <w:rsid w:val="00612F5E"/>
    <w:rsid w:val="00643174"/>
    <w:rsid w:val="00690061"/>
    <w:rsid w:val="006F48E0"/>
    <w:rsid w:val="007A01F4"/>
    <w:rsid w:val="008142E4"/>
    <w:rsid w:val="008B0AC7"/>
    <w:rsid w:val="008E272A"/>
    <w:rsid w:val="008F5C9A"/>
    <w:rsid w:val="009C1AE7"/>
    <w:rsid w:val="009C6C15"/>
    <w:rsid w:val="009E380D"/>
    <w:rsid w:val="009F22BB"/>
    <w:rsid w:val="00A24D3F"/>
    <w:rsid w:val="00A43B35"/>
    <w:rsid w:val="00A76818"/>
    <w:rsid w:val="00B24DA7"/>
    <w:rsid w:val="00B61B91"/>
    <w:rsid w:val="00BA0E8C"/>
    <w:rsid w:val="00C24F7B"/>
    <w:rsid w:val="00C26388"/>
    <w:rsid w:val="00C71DAA"/>
    <w:rsid w:val="00C842F9"/>
    <w:rsid w:val="00D52CB8"/>
    <w:rsid w:val="00E00C32"/>
    <w:rsid w:val="00E14361"/>
    <w:rsid w:val="00E33CC9"/>
    <w:rsid w:val="00EA1718"/>
    <w:rsid w:val="00EF4CAC"/>
    <w:rsid w:val="00F05354"/>
    <w:rsid w:val="00F122F5"/>
    <w:rsid w:val="00F15911"/>
    <w:rsid w:val="00F818D7"/>
    <w:rsid w:val="00F86DF9"/>
    <w:rsid w:val="00F91402"/>
    <w:rsid w:val="00FD4A8F"/>
    <w:rsid w:val="00FF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F6E5"/>
  <w15:chartTrackingRefBased/>
  <w15:docId w15:val="{7BE21018-50C2-44F9-A82F-91B48FFA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A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5354"/>
    <w:rPr>
      <w:color w:val="0563C1" w:themeColor="hyperlink"/>
      <w:u w:val="single"/>
    </w:rPr>
  </w:style>
  <w:style w:type="paragraph" w:styleId="ListParagraph">
    <w:name w:val="List Paragraph"/>
    <w:basedOn w:val="Normal"/>
    <w:uiPriority w:val="34"/>
    <w:qFormat/>
    <w:rsid w:val="00F05354"/>
    <w:pPr>
      <w:ind w:left="720"/>
      <w:contextualSpacing/>
    </w:pPr>
  </w:style>
  <w:style w:type="paragraph" w:styleId="Header">
    <w:name w:val="header"/>
    <w:basedOn w:val="Normal"/>
    <w:link w:val="HeaderChar"/>
    <w:uiPriority w:val="99"/>
    <w:unhideWhenUsed/>
    <w:rsid w:val="00F05354"/>
    <w:pPr>
      <w:tabs>
        <w:tab w:val="center" w:pos="4680"/>
        <w:tab w:val="right" w:pos="9360"/>
      </w:tabs>
    </w:pPr>
  </w:style>
  <w:style w:type="character" w:customStyle="1" w:styleId="HeaderChar">
    <w:name w:val="Header Char"/>
    <w:basedOn w:val="DefaultParagraphFont"/>
    <w:link w:val="Header"/>
    <w:uiPriority w:val="99"/>
    <w:rsid w:val="00F053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354"/>
    <w:pPr>
      <w:tabs>
        <w:tab w:val="center" w:pos="4680"/>
        <w:tab w:val="right" w:pos="9360"/>
      </w:tabs>
    </w:pPr>
  </w:style>
  <w:style w:type="character" w:customStyle="1" w:styleId="FooterChar">
    <w:name w:val="Footer Char"/>
    <w:basedOn w:val="DefaultParagraphFont"/>
    <w:link w:val="Footer"/>
    <w:uiPriority w:val="99"/>
    <w:rsid w:val="00F053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5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91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A1718"/>
    <w:rPr>
      <w:color w:val="605E5C"/>
      <w:shd w:val="clear" w:color="auto" w:fill="E1DFDD"/>
    </w:rPr>
  </w:style>
  <w:style w:type="paragraph" w:customStyle="1" w:styleId="Bullet1">
    <w:name w:val="*Bullet_1"/>
    <w:basedOn w:val="Normal"/>
    <w:link w:val="Bullet1Char"/>
    <w:rsid w:val="00F91402"/>
    <w:pPr>
      <w:numPr>
        <w:numId w:val="4"/>
      </w:numPr>
      <w:spacing w:after="240"/>
      <w:outlineLvl w:val="0"/>
    </w:pPr>
    <w:rPr>
      <w:rFonts w:eastAsia="Calibri"/>
      <w:szCs w:val="22"/>
    </w:rPr>
  </w:style>
  <w:style w:type="character" w:customStyle="1" w:styleId="Bullet1Char">
    <w:name w:val="*Bullet_1 Char"/>
    <w:link w:val="Bullet1"/>
    <w:rsid w:val="00F91402"/>
    <w:rPr>
      <w:rFonts w:ascii="Times New Roman" w:eastAsia="Calibri" w:hAnsi="Times New Roman" w:cs="Times New Roman"/>
      <w:sz w:val="24"/>
    </w:rPr>
  </w:style>
  <w:style w:type="paragraph" w:customStyle="1" w:styleId="Bullet2">
    <w:name w:val="*Bullet_2"/>
    <w:basedOn w:val="Normal"/>
    <w:rsid w:val="00F91402"/>
    <w:pPr>
      <w:numPr>
        <w:ilvl w:val="1"/>
        <w:numId w:val="4"/>
      </w:numPr>
      <w:spacing w:after="240"/>
      <w:outlineLvl w:val="1"/>
    </w:pPr>
    <w:rPr>
      <w:rFonts w:eastAsia="Calibri"/>
      <w:szCs w:val="22"/>
    </w:rPr>
  </w:style>
  <w:style w:type="paragraph" w:customStyle="1" w:styleId="Bullet3">
    <w:name w:val="*Bullet_3"/>
    <w:basedOn w:val="Normal"/>
    <w:rsid w:val="00F91402"/>
    <w:pPr>
      <w:numPr>
        <w:ilvl w:val="2"/>
        <w:numId w:val="4"/>
      </w:numPr>
      <w:tabs>
        <w:tab w:val="num" w:pos="360"/>
      </w:tabs>
      <w:spacing w:after="240"/>
      <w:outlineLvl w:val="2"/>
    </w:pPr>
    <w:rPr>
      <w:rFonts w:eastAsia="Calibri"/>
      <w:szCs w:val="22"/>
    </w:rPr>
  </w:style>
  <w:style w:type="paragraph" w:customStyle="1" w:styleId="Bullet4">
    <w:name w:val="*Bullet_4"/>
    <w:basedOn w:val="Normal"/>
    <w:rsid w:val="00F91402"/>
    <w:pPr>
      <w:numPr>
        <w:ilvl w:val="3"/>
        <w:numId w:val="4"/>
      </w:numPr>
      <w:tabs>
        <w:tab w:val="num" w:pos="360"/>
      </w:tabs>
      <w:spacing w:after="240"/>
      <w:outlineLvl w:val="3"/>
    </w:pPr>
    <w:rPr>
      <w:rFonts w:eastAsia="Calibri"/>
      <w:szCs w:val="22"/>
    </w:rPr>
  </w:style>
  <w:style w:type="paragraph" w:customStyle="1" w:styleId="Bullet5">
    <w:name w:val="*Bullet_5"/>
    <w:basedOn w:val="Normal"/>
    <w:rsid w:val="00F91402"/>
    <w:pPr>
      <w:numPr>
        <w:ilvl w:val="4"/>
        <w:numId w:val="4"/>
      </w:numPr>
      <w:tabs>
        <w:tab w:val="num" w:pos="360"/>
      </w:tabs>
      <w:spacing w:after="240"/>
      <w:outlineLvl w:val="4"/>
    </w:pPr>
    <w:rPr>
      <w:rFonts w:eastAsia="Calibri"/>
      <w:szCs w:val="22"/>
    </w:rPr>
  </w:style>
  <w:style w:type="paragraph" w:customStyle="1" w:styleId="Bullet6">
    <w:name w:val="*Bullet_6"/>
    <w:basedOn w:val="Normal"/>
    <w:rsid w:val="00F91402"/>
    <w:pPr>
      <w:numPr>
        <w:ilvl w:val="5"/>
        <w:numId w:val="4"/>
      </w:numPr>
      <w:tabs>
        <w:tab w:val="num" w:pos="360"/>
      </w:tabs>
      <w:spacing w:after="240"/>
      <w:outlineLvl w:val="5"/>
    </w:pPr>
    <w:rPr>
      <w:rFonts w:eastAsia="Calibri"/>
      <w:szCs w:val="22"/>
    </w:rPr>
  </w:style>
  <w:style w:type="paragraph" w:customStyle="1" w:styleId="Bullet7">
    <w:name w:val="*Bullet_7"/>
    <w:basedOn w:val="Normal"/>
    <w:rsid w:val="00F91402"/>
    <w:pPr>
      <w:numPr>
        <w:ilvl w:val="6"/>
        <w:numId w:val="4"/>
      </w:numPr>
      <w:tabs>
        <w:tab w:val="num" w:pos="360"/>
      </w:tabs>
      <w:spacing w:after="240"/>
      <w:outlineLvl w:val="6"/>
    </w:pPr>
    <w:rPr>
      <w:rFonts w:eastAsia="Calibri"/>
      <w:szCs w:val="22"/>
    </w:rPr>
  </w:style>
  <w:style w:type="paragraph" w:customStyle="1" w:styleId="Bullet8">
    <w:name w:val="*Bullet_8"/>
    <w:basedOn w:val="Normal"/>
    <w:rsid w:val="00F91402"/>
    <w:pPr>
      <w:numPr>
        <w:ilvl w:val="7"/>
        <w:numId w:val="4"/>
      </w:numPr>
      <w:tabs>
        <w:tab w:val="num" w:pos="360"/>
      </w:tabs>
      <w:spacing w:after="240"/>
      <w:outlineLvl w:val="7"/>
    </w:pPr>
    <w:rPr>
      <w:rFonts w:eastAsia="Calibri"/>
      <w:szCs w:val="22"/>
    </w:rPr>
  </w:style>
  <w:style w:type="paragraph" w:customStyle="1" w:styleId="Bullet9">
    <w:name w:val="*Bullet_9"/>
    <w:basedOn w:val="Normal"/>
    <w:rsid w:val="00F91402"/>
    <w:pPr>
      <w:numPr>
        <w:ilvl w:val="8"/>
        <w:numId w:val="4"/>
      </w:numPr>
      <w:tabs>
        <w:tab w:val="num" w:pos="360"/>
      </w:tabs>
      <w:spacing w:after="240"/>
      <w:outlineLvl w:val="8"/>
    </w:pPr>
    <w:rPr>
      <w:rFonts w:eastAsia="Calibri"/>
      <w:szCs w:val="22"/>
    </w:rPr>
  </w:style>
  <w:style w:type="paragraph" w:styleId="Revision">
    <w:name w:val="Revision"/>
    <w:hidden/>
    <w:uiPriority w:val="99"/>
    <w:semiHidden/>
    <w:rsid w:val="008142E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99889">
      <w:bodyDiv w:val="1"/>
      <w:marLeft w:val="0"/>
      <w:marRight w:val="0"/>
      <w:marTop w:val="0"/>
      <w:marBottom w:val="0"/>
      <w:divBdr>
        <w:top w:val="none" w:sz="0" w:space="0" w:color="auto"/>
        <w:left w:val="none" w:sz="0" w:space="0" w:color="auto"/>
        <w:bottom w:val="none" w:sz="0" w:space="0" w:color="auto"/>
        <w:right w:val="none" w:sz="0" w:space="0" w:color="auto"/>
      </w:divBdr>
    </w:div>
    <w:div w:id="15443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ccurat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dffc3f-13c9-4af0-8920-f73625b23be8">
      <Terms xmlns="http://schemas.microsoft.com/office/infopath/2007/PartnerControls"/>
    </lcf76f155ced4ddcb4097134ff3c332f>
    <TaxCatchAll xmlns="29f8ae51-24ed-4bf0-87ee-5f650a9f8e38" xsi:nil="true"/>
    <MigrationWizId xmlns="1cdffc3f-13c9-4af0-8920-f73625b23be8" xsi:nil="true"/>
    <MigrationWizIdVersion xmlns="1cdffc3f-13c9-4af0-8920-f73625b23be8" xsi:nil="true"/>
    <MigrationWizIdPermissions xmlns="1cdffc3f-13c9-4af0-8920-f73625b23b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1E1B146B94D4097BCB64A4DA8584F" ma:contentTypeVersion="18" ma:contentTypeDescription="Create a new document." ma:contentTypeScope="" ma:versionID="1a8c44d3f8749e7eba554a17f8d55d7c">
  <xsd:schema xmlns:xsd="http://www.w3.org/2001/XMLSchema" xmlns:xs="http://www.w3.org/2001/XMLSchema" xmlns:p="http://schemas.microsoft.com/office/2006/metadata/properties" xmlns:ns2="1cdffc3f-13c9-4af0-8920-f73625b23be8" xmlns:ns3="29f8ae51-24ed-4bf0-87ee-5f650a9f8e38" targetNamespace="http://schemas.microsoft.com/office/2006/metadata/properties" ma:root="true" ma:fieldsID="a110023d0b62343e612ac5c3bf0b6461" ns2:_="" ns3:_="">
    <xsd:import namespace="1cdffc3f-13c9-4af0-8920-f73625b23be8"/>
    <xsd:import namespace="29f8ae51-24ed-4bf0-87ee-5f650a9f8e38"/>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ffc3f-13c9-4af0-8920-f73625b23be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13f4ca-9969-4757-a9e9-437e8cf8220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f8ae51-24ed-4bf0-87ee-5f650a9f8e3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26e88db-313a-4e4b-8e09-32c6e47813d8}" ma:internalName="TaxCatchAll" ma:showField="CatchAllData" ma:web="29f8ae51-24ed-4bf0-87ee-5f650a9f8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5E7CE-CF0B-4C9A-909F-A8B8651554CB}">
  <ds:schemaRefs>
    <ds:schemaRef ds:uri="http://schemas.microsoft.com/office/2006/metadata/properties"/>
    <ds:schemaRef ds:uri="http://schemas.microsoft.com/office/infopath/2007/PartnerControls"/>
    <ds:schemaRef ds:uri="1cdffc3f-13c9-4af0-8920-f73625b23be8"/>
    <ds:schemaRef ds:uri="29f8ae51-24ed-4bf0-87ee-5f650a9f8e38"/>
  </ds:schemaRefs>
</ds:datastoreItem>
</file>

<file path=customXml/itemProps2.xml><?xml version="1.0" encoding="utf-8"?>
<ds:datastoreItem xmlns:ds="http://schemas.openxmlformats.org/officeDocument/2006/customXml" ds:itemID="{792A8A6A-8AB9-4D8E-84DF-1CE576EF3DB6}">
  <ds:schemaRefs>
    <ds:schemaRef ds:uri="http://schemas.microsoft.com/sharepoint/v3/contenttype/forms"/>
  </ds:schemaRefs>
</ds:datastoreItem>
</file>

<file path=customXml/itemProps3.xml><?xml version="1.0" encoding="utf-8"?>
<ds:datastoreItem xmlns:ds="http://schemas.openxmlformats.org/officeDocument/2006/customXml" ds:itemID="{C015ADAC-EBFE-4143-A1DE-95ED8337C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ffc3f-13c9-4af0-8920-f73625b23be8"/>
    <ds:schemaRef ds:uri="29f8ae51-24ed-4bf0-87ee-5f650a9f8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Katie Rios</cp:lastModifiedBy>
  <cp:revision>2</cp:revision>
  <dcterms:created xsi:type="dcterms:W3CDTF">2024-10-18T15:33:00Z</dcterms:created>
  <dcterms:modified xsi:type="dcterms:W3CDTF">2024-10-18T15:33:00Z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0x010100A621E1B146B94D4097BCB64A4DA8584F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