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8CA2" w14:textId="77777777" w:rsidR="00A85A0D" w:rsidRPr="00A85A0D" w:rsidRDefault="00A85A0D" w:rsidP="00A85A0D">
      <w:pPr>
        <w:spacing w:line="256" w:lineRule="auto"/>
        <w:ind w:left="93" w:hanging="10"/>
        <w:jc w:val="center"/>
        <w:rPr>
          <w:rFonts w:ascii="Calibri" w:eastAsia="Calibri" w:hAnsi="Calibri" w:cs="Calibri"/>
          <w:color w:val="000000"/>
          <w:sz w:val="20"/>
          <w:szCs w:val="22"/>
        </w:rPr>
      </w:pPr>
      <w:r w:rsidRPr="00A85A0D">
        <w:rPr>
          <w:rFonts w:ascii="Calibri" w:eastAsia="Calibri" w:hAnsi="Calibri" w:cs="Calibri"/>
          <w:b/>
          <w:color w:val="000000"/>
          <w:sz w:val="20"/>
          <w:szCs w:val="22"/>
        </w:rPr>
        <w:t xml:space="preserve">A SUMMARY OF YOUR RIGHTS UNDER THE </w:t>
      </w:r>
    </w:p>
    <w:p w14:paraId="61D204C8" w14:textId="77777777" w:rsidR="00A85A0D" w:rsidRPr="00A85A0D" w:rsidRDefault="00A85A0D" w:rsidP="00A85A0D">
      <w:pPr>
        <w:spacing w:line="256" w:lineRule="auto"/>
        <w:ind w:left="93" w:hanging="10"/>
        <w:jc w:val="center"/>
        <w:rPr>
          <w:rFonts w:ascii="Calibri" w:eastAsia="Calibri" w:hAnsi="Calibri" w:cs="Calibri"/>
          <w:color w:val="000000"/>
          <w:sz w:val="20"/>
          <w:szCs w:val="22"/>
        </w:rPr>
      </w:pPr>
      <w:r w:rsidRPr="00A85A0D">
        <w:rPr>
          <w:rFonts w:ascii="Calibri" w:eastAsia="Calibri" w:hAnsi="Calibri" w:cs="Calibri"/>
          <w:b/>
          <w:color w:val="000000"/>
          <w:sz w:val="20"/>
          <w:szCs w:val="22"/>
        </w:rPr>
        <w:t xml:space="preserve">NEW JERSEY FAIR CREDIT REPORTING ACT </w:t>
      </w:r>
    </w:p>
    <w:p w14:paraId="510E5601" w14:textId="77777777" w:rsidR="00A85A0D" w:rsidRPr="00A85A0D" w:rsidRDefault="00A85A0D" w:rsidP="00A85A0D">
      <w:pPr>
        <w:spacing w:line="256" w:lineRule="auto"/>
        <w:ind w:left="127"/>
        <w:jc w:val="center"/>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2E064D0A" w14:textId="77777777" w:rsidR="00A85A0D" w:rsidRPr="00A85A0D" w:rsidRDefault="00A85A0D" w:rsidP="00A85A0D">
      <w:pPr>
        <w:spacing w:after="4" w:line="247" w:lineRule="auto"/>
        <w:ind w:left="-5" w:hanging="10"/>
        <w:rPr>
          <w:rFonts w:ascii="Calibri" w:eastAsia="Calibri" w:hAnsi="Calibri" w:cs="Calibri"/>
          <w:color w:val="000000"/>
          <w:sz w:val="20"/>
          <w:szCs w:val="22"/>
        </w:rPr>
      </w:pPr>
      <w:bookmarkStart w:id="0" w:name="_Hlk518295030"/>
      <w:r w:rsidRPr="00A85A0D">
        <w:rPr>
          <w:rFonts w:ascii="Calibri" w:eastAsia="Calibri" w:hAnsi="Calibri" w:cs="Calibri"/>
          <w:color w:val="000000"/>
          <w:sz w:val="20"/>
          <w:szCs w:val="22"/>
        </w:rPr>
        <w:t xml:space="preserve">Under the New Jersey Fair Credit Reporting Act (NJFCRA or the “Act”), an employer, before taking adverse employment action, is required to provide the applicant or employee with a summary of their rights under the Act with respect to consumer reports or investigative consumer reports obtained for employment purposes from a consumer reporting agency (CRA). This Summary is intended to serve that purpose. </w:t>
      </w:r>
    </w:p>
    <w:bookmarkEnd w:id="0"/>
    <w:p w14:paraId="42C648F5"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4BE9AE0E"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bookmarkStart w:id="1" w:name="_Hlk518295054"/>
      <w:r w:rsidRPr="00A85A0D">
        <w:rPr>
          <w:rFonts w:ascii="Calibri" w:eastAsia="Calibri" w:hAnsi="Calibri" w:cs="Calibri"/>
          <w:color w:val="000000"/>
          <w:sz w:val="20"/>
          <w:szCs w:val="22"/>
        </w:rPr>
        <w:t xml:space="preserve">You can find the complete text of the NJCRA, N.J. Stat. §§56:11‐29 – 56:11‐41, at the New Jersey State </w:t>
      </w:r>
    </w:p>
    <w:p w14:paraId="5EC71AC3" w14:textId="4C7BFA00" w:rsidR="00A85A0D" w:rsidRPr="00A85A0D" w:rsidRDefault="00A85A0D" w:rsidP="00A85A0D">
      <w:pPr>
        <w:spacing w:after="4" w:line="247" w:lineRule="auto"/>
        <w:ind w:left="-5" w:right="273" w:hanging="10"/>
        <w:rPr>
          <w:rFonts w:ascii="Calibri" w:eastAsia="Calibri" w:hAnsi="Calibri" w:cs="Calibri"/>
          <w:color w:val="000000"/>
          <w:sz w:val="20"/>
          <w:szCs w:val="22"/>
        </w:rPr>
      </w:pPr>
      <w:r w:rsidRPr="00A85A0D">
        <w:rPr>
          <w:rFonts w:ascii="Calibri" w:eastAsia="Calibri" w:hAnsi="Calibri" w:cs="Calibri"/>
          <w:color w:val="000000"/>
          <w:sz w:val="20"/>
          <w:szCs w:val="22"/>
        </w:rPr>
        <w:t>Legislature’s web site</w:t>
      </w:r>
      <w:hyperlink r:id="rId7" w:history="1">
        <w:r w:rsidR="005C1C20" w:rsidRPr="005C1C20">
          <w:rPr>
            <w:rStyle w:val="Hyperlink"/>
            <w:rFonts w:ascii="Calibri" w:eastAsia="Calibri" w:hAnsi="Calibri" w:cs="Calibri"/>
            <w:sz w:val="20"/>
            <w:szCs w:val="22"/>
          </w:rPr>
          <w:t>http://www.njleg.state.nj.us</w:t>
        </w:r>
      </w:hyperlink>
      <w:r w:rsidRPr="00A85A0D">
        <w:rPr>
          <w:rFonts w:ascii="Calibri" w:eastAsia="Calibri" w:hAnsi="Calibri" w:cs="Calibri"/>
          <w:color w:val="000000"/>
          <w:sz w:val="20"/>
          <w:szCs w:val="22"/>
        </w:rPr>
        <w:t xml:space="preserve">You may have additional rights under the federal Fair </w:t>
      </w:r>
    </w:p>
    <w:p w14:paraId="175A9637" w14:textId="31D1B08A" w:rsidR="00A85A0D" w:rsidRPr="00A85A0D" w:rsidRDefault="00A85A0D" w:rsidP="00A85A0D">
      <w:pPr>
        <w:spacing w:after="4" w:line="247" w:lineRule="auto"/>
        <w:ind w:left="-5" w:right="273" w:hanging="10"/>
        <w:rPr>
          <w:rFonts w:ascii="Calibri" w:eastAsia="Calibri" w:hAnsi="Calibri" w:cs="Calibri"/>
          <w:color w:val="000000"/>
          <w:sz w:val="20"/>
          <w:szCs w:val="22"/>
        </w:rPr>
      </w:pPr>
      <w:r w:rsidRPr="00A85A0D">
        <w:rPr>
          <w:rFonts w:ascii="Calibri" w:eastAsia="Calibri" w:hAnsi="Calibri" w:cs="Calibri"/>
          <w:color w:val="000000"/>
          <w:sz w:val="20"/>
          <w:szCs w:val="22"/>
        </w:rPr>
        <w:t>Credit Reporting Act, 15 U.S.C. 1681‐1681u, which is available on the Internet at the Federal Trade Commission’s website</w:t>
      </w:r>
      <w:hyperlink r:id="rId8" w:history="1">
        <w:r w:rsidR="005C1C20" w:rsidRPr="005C1C20">
          <w:rPr>
            <w:rStyle w:val="Hyperlink"/>
            <w:rFonts w:ascii="Calibri" w:eastAsia="Calibri" w:hAnsi="Calibri" w:cs="Calibri"/>
            <w:sz w:val="20"/>
            <w:szCs w:val="22"/>
          </w:rPr>
          <w:t>http://www.ftc.gov</w:t>
        </w:r>
      </w:hyperlink>
    </w:p>
    <w:bookmarkEnd w:id="1"/>
    <w:p w14:paraId="09417AA0" w14:textId="77777777" w:rsidR="00A85A0D" w:rsidRPr="00A85A0D" w:rsidRDefault="00A85A0D" w:rsidP="00A85A0D">
      <w:pPr>
        <w:spacing w:after="2" w:line="256" w:lineRule="auto"/>
        <w:rPr>
          <w:rFonts w:ascii="Calibri" w:eastAsia="Calibri" w:hAnsi="Calibri" w:cs="Calibri"/>
          <w:color w:val="000000"/>
          <w:sz w:val="20"/>
          <w:szCs w:val="22"/>
        </w:rPr>
      </w:pPr>
      <w:r w:rsidRPr="00A85A0D">
        <w:rPr>
          <w:rFonts w:ascii="Calibri" w:eastAsia="Calibri" w:hAnsi="Calibri" w:cs="Calibri"/>
          <w:color w:val="0000FF"/>
          <w:sz w:val="20"/>
          <w:szCs w:val="22"/>
        </w:rPr>
        <w:t xml:space="preserve"> </w:t>
      </w:r>
    </w:p>
    <w:p w14:paraId="3009F9E8" w14:textId="77777777" w:rsidR="00A85A0D" w:rsidRPr="00A85A0D" w:rsidRDefault="00A85A0D" w:rsidP="00A85A0D">
      <w:pPr>
        <w:numPr>
          <w:ilvl w:val="0"/>
          <w:numId w:val="2"/>
        </w:numPr>
        <w:spacing w:after="4" w:line="247" w:lineRule="auto"/>
        <w:ind w:right="273"/>
        <w:rPr>
          <w:rFonts w:ascii="Calibri" w:eastAsia="Calibri" w:hAnsi="Calibri" w:cs="Calibri"/>
          <w:color w:val="000000"/>
          <w:sz w:val="20"/>
          <w:szCs w:val="22"/>
        </w:rPr>
      </w:pPr>
      <w:bookmarkStart w:id="2" w:name="_Hlk518295601"/>
      <w:r w:rsidRPr="00A85A0D">
        <w:rPr>
          <w:rFonts w:ascii="Calibri" w:eastAsia="Calibri" w:hAnsi="Calibri" w:cs="Calibri"/>
          <w:b/>
          <w:color w:val="000000"/>
          <w:sz w:val="20"/>
          <w:szCs w:val="22"/>
        </w:rPr>
        <w:t>You must consent to the procurement for employment purposes of a report about you.</w:t>
      </w:r>
      <w:r w:rsidRPr="00A85A0D">
        <w:rPr>
          <w:rFonts w:ascii="Calibri" w:eastAsia="Calibri" w:hAnsi="Calibri" w:cs="Calibri"/>
          <w:color w:val="000000"/>
          <w:sz w:val="20"/>
          <w:szCs w:val="22"/>
        </w:rPr>
        <w:t xml:space="preserve">  Before an employer can obtain a report about you from a CRA, the employer must provide you with notice that it will request the report and obtain your consent to that request.  A CRA may not give out information about you to the employer, or prospective employer, without your written consent. </w:t>
      </w:r>
    </w:p>
    <w:bookmarkEnd w:id="2"/>
    <w:p w14:paraId="09C51273" w14:textId="77777777" w:rsidR="00A85A0D" w:rsidRPr="00A85A0D" w:rsidRDefault="00A85A0D" w:rsidP="00A85A0D">
      <w:pPr>
        <w:spacing w:after="2" w:line="256" w:lineRule="auto"/>
        <w:rPr>
          <w:rFonts w:ascii="Calibri" w:eastAsia="Calibri" w:hAnsi="Calibri" w:cs="Calibri"/>
          <w:color w:val="000000"/>
          <w:sz w:val="20"/>
          <w:szCs w:val="22"/>
        </w:rPr>
      </w:pPr>
      <w:r w:rsidRPr="00A85A0D">
        <w:rPr>
          <w:rFonts w:ascii="Calibri" w:eastAsia="Calibri" w:hAnsi="Calibri" w:cs="Calibri"/>
          <w:color w:val="0000FF"/>
          <w:sz w:val="20"/>
          <w:szCs w:val="22"/>
        </w:rPr>
        <w:t xml:space="preserve"> </w:t>
      </w:r>
    </w:p>
    <w:p w14:paraId="68617F18" w14:textId="77777777" w:rsidR="00A85A0D" w:rsidRPr="00A85A0D" w:rsidRDefault="00A85A0D" w:rsidP="00A85A0D">
      <w:pPr>
        <w:numPr>
          <w:ilvl w:val="0"/>
          <w:numId w:val="2"/>
        </w:numPr>
        <w:spacing w:after="4" w:line="247" w:lineRule="auto"/>
        <w:ind w:right="273"/>
        <w:rPr>
          <w:rFonts w:ascii="Calibri" w:eastAsia="Calibri" w:hAnsi="Calibri" w:cs="Calibri"/>
          <w:color w:val="000000"/>
          <w:sz w:val="20"/>
          <w:szCs w:val="22"/>
        </w:rPr>
      </w:pPr>
      <w:bookmarkStart w:id="3" w:name="_Hlk518295703"/>
      <w:r w:rsidRPr="00A85A0D">
        <w:rPr>
          <w:rFonts w:ascii="Calibri" w:eastAsia="Calibri" w:hAnsi="Calibri" w:cs="Calibri"/>
          <w:b/>
          <w:color w:val="000000"/>
          <w:sz w:val="20"/>
          <w:szCs w:val="22"/>
        </w:rPr>
        <w:t>You must be told if information in your file has been used against you for employment purposes.</w:t>
      </w:r>
      <w:r w:rsidRPr="00A85A0D">
        <w:rPr>
          <w:rFonts w:ascii="Calibri" w:eastAsia="Calibri" w:hAnsi="Calibri" w:cs="Calibri"/>
          <w:color w:val="000000"/>
          <w:sz w:val="20"/>
          <w:szCs w:val="22"/>
        </w:rPr>
        <w:t xml:space="preserve">  An employer who uses information from a consumer or investigative consumer report to take action against you ‐‐ such as denying an application for employment or terminating employment ‐‐ must tell you that its decision is based in whole or in part on the report.  The employer also must provide you with a description of your rights under the NJCRA and a reasonable opportunity to dispute with the CRA any information on which the employer relied. </w:t>
      </w:r>
    </w:p>
    <w:bookmarkEnd w:id="3"/>
    <w:p w14:paraId="7F55BA32" w14:textId="77777777" w:rsidR="00A85A0D" w:rsidRPr="00A85A0D" w:rsidRDefault="00A85A0D" w:rsidP="00A85A0D">
      <w:pPr>
        <w:spacing w:after="1"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16D50162" w14:textId="77777777" w:rsidR="00A85A0D" w:rsidRPr="00A85A0D" w:rsidRDefault="00A85A0D" w:rsidP="00A85A0D">
      <w:pPr>
        <w:numPr>
          <w:ilvl w:val="0"/>
          <w:numId w:val="2"/>
        </w:numPr>
        <w:spacing w:after="4" w:line="247" w:lineRule="auto"/>
        <w:ind w:right="273"/>
        <w:rPr>
          <w:rFonts w:ascii="Calibri" w:eastAsia="Calibri" w:hAnsi="Calibri" w:cs="Calibri"/>
          <w:color w:val="000000"/>
          <w:sz w:val="20"/>
          <w:szCs w:val="22"/>
        </w:rPr>
      </w:pPr>
      <w:bookmarkStart w:id="4" w:name="_Hlk518295807"/>
      <w:r w:rsidRPr="00A85A0D">
        <w:rPr>
          <w:rFonts w:ascii="Calibri" w:eastAsia="Calibri" w:hAnsi="Calibri" w:cs="Calibri"/>
          <w:b/>
          <w:color w:val="000000"/>
          <w:sz w:val="20"/>
          <w:szCs w:val="22"/>
        </w:rPr>
        <w:t>You have a right to know what is in your file.</w:t>
      </w:r>
      <w:r w:rsidRPr="00A85A0D">
        <w:rPr>
          <w:rFonts w:ascii="Calibri" w:eastAsia="Calibri" w:hAnsi="Calibri" w:cs="Calibri"/>
          <w:color w:val="000000"/>
          <w:sz w:val="20"/>
          <w:szCs w:val="22"/>
        </w:rPr>
        <w:t xml:space="preserve">  You may request and obtain all the information about you in the file of a CRA and a list of everyone who has recently requested your file.   These disclosures may be made in person, over the telephone or by any other reasonable method available to the CRA.  Additionally, you are entitled to one free consumer report every 12 months, upon request.  You may be charged a limited fee for a second or subsequent report requested by you during a 12 month period. </w:t>
      </w:r>
    </w:p>
    <w:p w14:paraId="04A2D1C4" w14:textId="77777777" w:rsidR="00A85A0D" w:rsidRPr="00A85A0D" w:rsidRDefault="00A85A0D" w:rsidP="00A85A0D">
      <w:pPr>
        <w:spacing w:after="1"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7555F26A" w14:textId="77777777" w:rsidR="00A85A0D" w:rsidRPr="00A85A0D" w:rsidRDefault="00A85A0D" w:rsidP="00A85A0D">
      <w:pPr>
        <w:numPr>
          <w:ilvl w:val="0"/>
          <w:numId w:val="2"/>
        </w:numPr>
        <w:spacing w:after="4" w:line="247" w:lineRule="auto"/>
        <w:ind w:right="273"/>
        <w:rPr>
          <w:rFonts w:ascii="Calibri" w:eastAsia="Calibri" w:hAnsi="Calibri" w:cs="Calibri"/>
          <w:color w:val="000000"/>
          <w:sz w:val="20"/>
          <w:szCs w:val="22"/>
        </w:rPr>
      </w:pPr>
      <w:bookmarkStart w:id="5" w:name="_Hlk518295871"/>
      <w:bookmarkEnd w:id="4"/>
      <w:r w:rsidRPr="00A85A0D">
        <w:rPr>
          <w:rFonts w:ascii="Calibri" w:eastAsia="Calibri" w:hAnsi="Calibri" w:cs="Calibri"/>
          <w:b/>
          <w:color w:val="000000"/>
          <w:sz w:val="20"/>
          <w:szCs w:val="22"/>
        </w:rPr>
        <w:t>You have a right to dispute incomplete or inaccurate information.</w:t>
      </w:r>
      <w:r w:rsidRPr="00A85A0D">
        <w:rPr>
          <w:rFonts w:ascii="Calibri" w:eastAsia="Calibri" w:hAnsi="Calibri" w:cs="Calibri"/>
          <w:color w:val="000000"/>
          <w:sz w:val="20"/>
          <w:szCs w:val="22"/>
        </w:rPr>
        <w:t xml:space="preserve">  If you identify information in your file that is incomplete or inaccurate, and you notify the consumer reporting agency directly of the dispute, the CRA will reinvestigate without charge and record the current status of the disputed information before the end of thirty business days, unless your dispute is frivolous or irrelevant.  The CRA must give you a written report of the investigation. </w:t>
      </w:r>
    </w:p>
    <w:bookmarkEnd w:id="5"/>
    <w:p w14:paraId="7D41BEC5" w14:textId="77777777" w:rsidR="00A85A0D" w:rsidRPr="00A85A0D" w:rsidRDefault="00A85A0D" w:rsidP="00A85A0D">
      <w:pPr>
        <w:spacing w:after="1"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5E408BEB" w14:textId="77777777" w:rsidR="00A85A0D" w:rsidRPr="00A85A0D" w:rsidRDefault="00A85A0D" w:rsidP="00A85A0D">
      <w:pPr>
        <w:numPr>
          <w:ilvl w:val="0"/>
          <w:numId w:val="2"/>
        </w:numPr>
        <w:spacing w:after="4" w:line="247" w:lineRule="auto"/>
        <w:ind w:right="273"/>
        <w:rPr>
          <w:rFonts w:ascii="Calibri" w:eastAsia="Calibri" w:hAnsi="Calibri" w:cs="Calibri"/>
          <w:color w:val="000000"/>
          <w:sz w:val="20"/>
          <w:szCs w:val="22"/>
        </w:rPr>
      </w:pPr>
      <w:bookmarkStart w:id="6" w:name="_Hlk518295970"/>
      <w:r w:rsidRPr="00A85A0D">
        <w:rPr>
          <w:rFonts w:ascii="Calibri" w:eastAsia="Calibri" w:hAnsi="Calibri" w:cs="Calibri"/>
          <w:b/>
          <w:color w:val="000000"/>
          <w:sz w:val="20"/>
          <w:szCs w:val="22"/>
        </w:rPr>
        <w:t>Consumer reporting agencies must correct or delete inaccurate, incomplete or unverifiable information.</w:t>
      </w:r>
      <w:r w:rsidRPr="00A85A0D">
        <w:rPr>
          <w:rFonts w:ascii="Calibri" w:eastAsia="Calibri" w:hAnsi="Calibri" w:cs="Calibri"/>
          <w:color w:val="000000"/>
          <w:sz w:val="20"/>
          <w:szCs w:val="22"/>
        </w:rPr>
        <w:t xml:space="preserve">  Upon completion of the reinvestigation, if the information you disputed is found to be inaccurate or cannot be verified, the CRA will delete the information within 30 days after you dispute it and notify you of the correction.  If the reinvestigation does not resolve your dispute, you may file with the CRA a brief statement setting forth the nature of your dispute.  The statement will be placed in your consumer file and in any subsequent report containing the information you disputed. </w:t>
      </w:r>
    </w:p>
    <w:bookmarkEnd w:id="6"/>
    <w:p w14:paraId="6D44960D"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7B3D6F33" w14:textId="77777777" w:rsidR="00A85A0D" w:rsidRPr="00A85A0D" w:rsidRDefault="00A85A0D" w:rsidP="00A85A0D">
      <w:pPr>
        <w:numPr>
          <w:ilvl w:val="0"/>
          <w:numId w:val="2"/>
        </w:numPr>
        <w:spacing w:after="4" w:line="247" w:lineRule="auto"/>
        <w:ind w:right="273"/>
        <w:rPr>
          <w:rFonts w:ascii="Calibri" w:eastAsia="Calibri" w:hAnsi="Calibri" w:cs="Calibri"/>
          <w:color w:val="000000"/>
          <w:sz w:val="20"/>
          <w:szCs w:val="22"/>
        </w:rPr>
      </w:pPr>
      <w:bookmarkStart w:id="7" w:name="_Hlk518295997"/>
      <w:r w:rsidRPr="00A85A0D">
        <w:rPr>
          <w:rFonts w:ascii="Calibri" w:eastAsia="Calibri" w:hAnsi="Calibri" w:cs="Calibri"/>
          <w:b/>
          <w:color w:val="000000"/>
          <w:sz w:val="20"/>
          <w:szCs w:val="22"/>
        </w:rPr>
        <w:t>Consumer reporting agencies may not report outdated negative information.</w:t>
      </w:r>
      <w:r w:rsidRPr="00A85A0D">
        <w:rPr>
          <w:rFonts w:ascii="Calibri" w:eastAsia="Calibri" w:hAnsi="Calibri" w:cs="Calibri"/>
          <w:color w:val="000000"/>
          <w:sz w:val="20"/>
          <w:szCs w:val="22"/>
        </w:rPr>
        <w:t xml:space="preserve">  In most cases, a CRA may not report negative information that is more than seven years old, or bankruptcies that are more than ten years old. </w:t>
      </w:r>
    </w:p>
    <w:bookmarkEnd w:id="7"/>
    <w:p w14:paraId="7EDFE8BE" w14:textId="77777777" w:rsidR="00A85A0D" w:rsidRPr="00A85A0D" w:rsidRDefault="00A85A0D" w:rsidP="00A85A0D">
      <w:pPr>
        <w:spacing w:after="2"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6EF0AC8B" w14:textId="77777777" w:rsidR="00A85A0D" w:rsidRPr="00A85A0D" w:rsidRDefault="00A85A0D" w:rsidP="00A85A0D">
      <w:pPr>
        <w:numPr>
          <w:ilvl w:val="0"/>
          <w:numId w:val="2"/>
        </w:numPr>
        <w:spacing w:after="4" w:line="247" w:lineRule="auto"/>
        <w:ind w:right="273"/>
        <w:rPr>
          <w:rFonts w:ascii="Calibri" w:eastAsia="Calibri" w:hAnsi="Calibri" w:cs="Calibri"/>
          <w:color w:val="000000"/>
          <w:sz w:val="20"/>
          <w:szCs w:val="22"/>
        </w:rPr>
      </w:pPr>
      <w:bookmarkStart w:id="8" w:name="_Hlk518296047"/>
      <w:r w:rsidRPr="00A85A0D">
        <w:rPr>
          <w:rFonts w:ascii="Calibri" w:eastAsia="Calibri" w:hAnsi="Calibri" w:cs="Calibri"/>
          <w:b/>
          <w:color w:val="000000"/>
          <w:sz w:val="20"/>
          <w:szCs w:val="22"/>
        </w:rPr>
        <w:lastRenderedPageBreak/>
        <w:t>You may place a security freeze on your credit report.</w:t>
      </w:r>
      <w:r w:rsidRPr="00A85A0D">
        <w:rPr>
          <w:rFonts w:ascii="Calibri" w:eastAsia="Calibri" w:hAnsi="Calibri" w:cs="Calibri"/>
          <w:color w:val="000000"/>
          <w:sz w:val="20"/>
          <w:szCs w:val="22"/>
        </w:rPr>
        <w:t xml:space="preserve">  A security freeze prevents your credit file from being shared with potential creditors or insurance companies.  You may request a security freeze by contacting by calling the following toll‐free telephone number(s):  TransUnion: 888‐909‐8872, Experian: 888‐397‐3742, Equifax: 800‐685‐1111 (NY residents please call 1‐800‐349‐9960). TransUnion, Experian and Equifax can also be reached at the following addresses</w:t>
      </w:r>
      <w:bookmarkEnd w:id="8"/>
      <w:r w:rsidRPr="00A85A0D">
        <w:rPr>
          <w:rFonts w:ascii="Calibri" w:eastAsia="Calibri" w:hAnsi="Calibri" w:cs="Calibri"/>
          <w:color w:val="000000"/>
          <w:sz w:val="20"/>
          <w:szCs w:val="22"/>
        </w:rPr>
        <w:t xml:space="preserve">: </w:t>
      </w:r>
    </w:p>
    <w:p w14:paraId="22184383"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17E2CB8A"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bookmarkStart w:id="9" w:name="_Hlk518296146"/>
      <w:r w:rsidRPr="00A85A0D">
        <w:rPr>
          <w:rFonts w:ascii="Calibri" w:eastAsia="Calibri" w:hAnsi="Calibri" w:cs="Calibri"/>
          <w:color w:val="000000"/>
          <w:sz w:val="20"/>
          <w:szCs w:val="22"/>
        </w:rPr>
        <w:t xml:space="preserve">TransUnion LLC </w:t>
      </w:r>
    </w:p>
    <w:p w14:paraId="72A72387" w14:textId="77777777" w:rsidR="00A85A0D" w:rsidRPr="00A85A0D" w:rsidRDefault="00A85A0D" w:rsidP="00A85A0D">
      <w:pPr>
        <w:spacing w:after="4" w:line="247" w:lineRule="auto"/>
        <w:ind w:left="-5" w:right="7421"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P.O. Box 2000 Chester, PA 19016 </w:t>
      </w:r>
    </w:p>
    <w:bookmarkEnd w:id="9"/>
    <w:p w14:paraId="6B3E752B" w14:textId="062D2C20" w:rsidR="00A85A0D" w:rsidRPr="00A85A0D" w:rsidRDefault="0020419B" w:rsidP="00A85A0D">
      <w:pPr>
        <w:spacing w:line="256" w:lineRule="auto"/>
        <w:rPr>
          <w:rFonts w:ascii="Calibri" w:eastAsia="Calibri" w:hAnsi="Calibri" w:cs="Calibri"/>
          <w:color w:val="000000"/>
          <w:sz w:val="20"/>
          <w:szCs w:val="22"/>
        </w:rPr>
      </w:pPr>
      <w:r>
        <w:rPr>
          <w:rFonts w:ascii="Calibri" w:eastAsia="Calibri" w:hAnsi="Calibri" w:cs="Calibri"/>
          <w:color w:val="000000"/>
          <w:sz w:val="20"/>
          <w:szCs w:val="22"/>
        </w:rPr>
        <w:fldChar w:fldCharType="begin"/>
      </w:r>
      <w:r>
        <w:rPr>
          <w:rFonts w:ascii="Calibri" w:eastAsia="Calibri" w:hAnsi="Calibri" w:cs="Calibri"/>
          <w:color w:val="000000"/>
          <w:sz w:val="20"/>
          <w:szCs w:val="22"/>
        </w:rPr>
        <w:instrText>HYPERLINK "https://freeze.transunion.com"</w:instrText>
      </w:r>
      <w:r>
        <w:rPr>
          <w:rFonts w:ascii="Calibri" w:eastAsia="Calibri" w:hAnsi="Calibri" w:cs="Calibri"/>
          <w:color w:val="000000"/>
          <w:sz w:val="20"/>
          <w:szCs w:val="22"/>
        </w:rPr>
      </w:r>
      <w:r>
        <w:rPr>
          <w:rFonts w:ascii="Calibri" w:eastAsia="Calibri" w:hAnsi="Calibri" w:cs="Calibri"/>
          <w:color w:val="000000"/>
          <w:sz w:val="20"/>
          <w:szCs w:val="22"/>
        </w:rPr>
        <w:fldChar w:fldCharType="separate"/>
      </w:r>
      <w:r w:rsidRPr="0020419B">
        <w:rPr>
          <w:rStyle w:val="Hyperlink"/>
          <w:rFonts w:ascii="Calibri" w:eastAsia="Calibri" w:hAnsi="Calibri" w:cs="Calibri"/>
          <w:sz w:val="20"/>
          <w:szCs w:val="22"/>
        </w:rPr>
        <w:t>https://freeze.transunion.com</w:t>
      </w:r>
      <w:r>
        <w:rPr>
          <w:rFonts w:ascii="Calibri" w:eastAsia="Calibri" w:hAnsi="Calibri" w:cs="Calibri"/>
          <w:color w:val="000000"/>
          <w:sz w:val="20"/>
          <w:szCs w:val="22"/>
        </w:rPr>
        <w:fldChar w:fldCharType="end"/>
      </w:r>
      <w:r>
        <w:rPr>
          <w:rFonts w:ascii="Calibri" w:eastAsia="Calibri" w:hAnsi="Calibri" w:cs="Calibri"/>
          <w:color w:val="000000"/>
          <w:sz w:val="20"/>
          <w:szCs w:val="22"/>
        </w:rPr>
        <w:t xml:space="preserve"> </w:t>
      </w:r>
    </w:p>
    <w:p w14:paraId="5621D66D"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6B2BEB56"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bookmarkStart w:id="10" w:name="_Hlk518296353"/>
      <w:r w:rsidRPr="00A85A0D">
        <w:rPr>
          <w:rFonts w:ascii="Calibri" w:eastAsia="Calibri" w:hAnsi="Calibri" w:cs="Calibri"/>
          <w:color w:val="000000"/>
          <w:sz w:val="20"/>
          <w:szCs w:val="22"/>
        </w:rPr>
        <w:t xml:space="preserve">Experian Security Freeze </w:t>
      </w:r>
    </w:p>
    <w:p w14:paraId="0EF036FC"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P.O. Box 9554 </w:t>
      </w:r>
    </w:p>
    <w:p w14:paraId="307A1506" w14:textId="64CD0DEA" w:rsidR="00A85A0D" w:rsidRPr="00A85A0D" w:rsidRDefault="00A85A0D" w:rsidP="00A85A0D">
      <w:pPr>
        <w:spacing w:after="4" w:line="247" w:lineRule="auto"/>
        <w:ind w:left="-5" w:right="5798"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Allen, TX 75013 </w:t>
      </w:r>
      <w:hyperlink r:id="rId9" w:history="1">
        <w:r w:rsidR="0020419B" w:rsidRPr="0020419B">
          <w:rPr>
            <w:rStyle w:val="Hyperlink"/>
            <w:rFonts w:ascii="Calibri" w:eastAsia="Calibri" w:hAnsi="Calibri" w:cs="Calibri"/>
            <w:sz w:val="20"/>
            <w:szCs w:val="22"/>
          </w:rPr>
          <w:t>http://www.experian.com/freeze</w:t>
        </w:r>
      </w:hyperlink>
      <w:r w:rsidR="0020419B">
        <w:rPr>
          <w:rFonts w:ascii="Calibri" w:eastAsia="Calibri" w:hAnsi="Calibri" w:cs="Calibri"/>
          <w:color w:val="000000"/>
          <w:sz w:val="20"/>
          <w:szCs w:val="22"/>
        </w:rPr>
        <w:t xml:space="preserve"> </w:t>
      </w:r>
    </w:p>
    <w:bookmarkEnd w:id="10"/>
    <w:p w14:paraId="568558DA"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54AE7C95"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bookmarkStart w:id="11" w:name="_Hlk518296419"/>
      <w:r w:rsidRPr="00A85A0D">
        <w:rPr>
          <w:rFonts w:ascii="Calibri" w:eastAsia="Calibri" w:hAnsi="Calibri" w:cs="Calibri"/>
          <w:color w:val="000000"/>
          <w:sz w:val="20"/>
          <w:szCs w:val="22"/>
        </w:rPr>
        <w:t xml:space="preserve">Equifax Security Freeze </w:t>
      </w:r>
    </w:p>
    <w:p w14:paraId="44EE54B8" w14:textId="77777777" w:rsidR="00A85A0D" w:rsidRPr="00A85A0D" w:rsidRDefault="00A85A0D" w:rsidP="00A85A0D">
      <w:pPr>
        <w:spacing w:after="4" w:line="247" w:lineRule="auto"/>
        <w:ind w:left="-5" w:right="7255"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P.O. Box 105788 Atlanta, GA 30348 </w:t>
      </w:r>
    </w:p>
    <w:bookmarkEnd w:id="11"/>
    <w:p w14:paraId="35E5D38F" w14:textId="3EC4ECDD" w:rsidR="00A85A0D" w:rsidRDefault="0020419B" w:rsidP="00A85A0D">
      <w:pPr>
        <w:spacing w:line="256" w:lineRule="auto"/>
        <w:rPr>
          <w:rFonts w:ascii="Calibri" w:eastAsia="Calibri" w:hAnsi="Calibri" w:cs="Calibri"/>
          <w:color w:val="000000"/>
          <w:sz w:val="20"/>
          <w:szCs w:val="22"/>
        </w:rPr>
      </w:pPr>
      <w:r>
        <w:rPr>
          <w:rFonts w:ascii="Calibri" w:eastAsia="Calibri" w:hAnsi="Calibri" w:cs="Calibri"/>
          <w:color w:val="0563C0"/>
          <w:sz w:val="20"/>
          <w:szCs w:val="22"/>
          <w:u w:val="single" w:color="0563C0"/>
        </w:rPr>
        <w:fldChar w:fldCharType="begin"/>
      </w:r>
      <w:r>
        <w:rPr>
          <w:rFonts w:ascii="Calibri" w:eastAsia="Calibri" w:hAnsi="Calibri" w:cs="Calibri"/>
          <w:color w:val="0563C0"/>
          <w:sz w:val="20"/>
          <w:szCs w:val="22"/>
          <w:u w:val="single" w:color="0563C0"/>
        </w:rPr>
        <w:instrText>HYPERLINK "https://www.equifax.com/personal/credit-report-services/credit-freeze/%20"</w:instrText>
      </w:r>
      <w:r>
        <w:rPr>
          <w:rFonts w:ascii="Calibri" w:eastAsia="Calibri" w:hAnsi="Calibri" w:cs="Calibri"/>
          <w:color w:val="0563C0"/>
          <w:sz w:val="20"/>
          <w:szCs w:val="22"/>
          <w:u w:val="single" w:color="0563C0"/>
        </w:rPr>
      </w:r>
      <w:r>
        <w:rPr>
          <w:rFonts w:ascii="Calibri" w:eastAsia="Calibri" w:hAnsi="Calibri" w:cs="Calibri"/>
          <w:color w:val="0563C0"/>
          <w:sz w:val="20"/>
          <w:szCs w:val="22"/>
          <w:u w:val="single" w:color="0563C0"/>
        </w:rPr>
        <w:fldChar w:fldCharType="separate"/>
      </w:r>
      <w:r w:rsidRPr="0020419B">
        <w:rPr>
          <w:rStyle w:val="Hyperlink"/>
          <w:rFonts w:ascii="Calibri" w:eastAsia="Calibri" w:hAnsi="Calibri" w:cs="Calibri"/>
          <w:sz w:val="20"/>
          <w:szCs w:val="22"/>
        </w:rPr>
        <w:t>https://www.equifax.com/credit-freeze/</w:t>
      </w:r>
      <w:r>
        <w:rPr>
          <w:rFonts w:ascii="Calibri" w:eastAsia="Calibri" w:hAnsi="Calibri" w:cs="Calibri"/>
          <w:color w:val="0563C0"/>
          <w:sz w:val="20"/>
          <w:szCs w:val="22"/>
          <w:u w:val="single" w:color="0563C0"/>
        </w:rPr>
        <w:fldChar w:fldCharType="end"/>
      </w:r>
      <w:r>
        <w:rPr>
          <w:rFonts w:ascii="Calibri" w:eastAsia="Calibri" w:hAnsi="Calibri" w:cs="Calibri"/>
          <w:color w:val="0563C0"/>
          <w:sz w:val="20"/>
          <w:szCs w:val="22"/>
          <w:u w:val="single" w:color="0563C0"/>
        </w:rPr>
        <w:t xml:space="preserve"> </w:t>
      </w:r>
    </w:p>
    <w:p w14:paraId="4DFDE888" w14:textId="77777777" w:rsidR="0020419B" w:rsidRPr="00A85A0D" w:rsidRDefault="0020419B" w:rsidP="00A85A0D">
      <w:pPr>
        <w:spacing w:line="256" w:lineRule="auto"/>
        <w:rPr>
          <w:rFonts w:ascii="Calibri" w:eastAsia="Calibri" w:hAnsi="Calibri" w:cs="Calibri"/>
          <w:color w:val="000000"/>
          <w:sz w:val="20"/>
          <w:szCs w:val="22"/>
        </w:rPr>
      </w:pPr>
    </w:p>
    <w:p w14:paraId="4CF1F5D5"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bookmarkStart w:id="12" w:name="_Hlk518296479"/>
      <w:r w:rsidRPr="00A85A0D">
        <w:rPr>
          <w:rFonts w:ascii="Calibri" w:eastAsia="Calibri" w:hAnsi="Calibri" w:cs="Calibri"/>
          <w:color w:val="000000"/>
          <w:sz w:val="20"/>
          <w:szCs w:val="22"/>
        </w:rPr>
        <w:t xml:space="preserve">A fee may be charged for providing this service. </w:t>
      </w:r>
    </w:p>
    <w:bookmarkEnd w:id="12"/>
    <w:p w14:paraId="7970C0E5" w14:textId="77777777" w:rsidR="00A85A0D" w:rsidRPr="00A85A0D" w:rsidRDefault="00A85A0D" w:rsidP="00A85A0D">
      <w:pPr>
        <w:spacing w:after="6"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75A50D32" w14:textId="77777777" w:rsidR="00A85A0D" w:rsidRPr="00A85A0D" w:rsidRDefault="00A85A0D" w:rsidP="00A85A0D">
      <w:pPr>
        <w:spacing w:after="4" w:line="247" w:lineRule="auto"/>
        <w:ind w:left="345" w:right="273" w:hanging="360"/>
        <w:rPr>
          <w:rFonts w:ascii="Calibri" w:eastAsia="Calibri" w:hAnsi="Calibri" w:cs="Calibri"/>
          <w:color w:val="000000"/>
          <w:sz w:val="20"/>
          <w:szCs w:val="22"/>
        </w:rPr>
      </w:pPr>
      <w:bookmarkStart w:id="13" w:name="_Hlk518296585"/>
      <w:r w:rsidRPr="00A85A0D">
        <w:rPr>
          <w:rFonts w:ascii="Segoe UI Symbol" w:eastAsia="Segoe UI Symbol" w:hAnsi="Segoe UI Symbol" w:cs="Segoe UI Symbol"/>
          <w:color w:val="000000"/>
          <w:sz w:val="20"/>
          <w:szCs w:val="22"/>
        </w:rPr>
        <w:sym w:font="Segoe UI Symbol" w:char="F0B7"/>
      </w:r>
      <w:r w:rsidRPr="00A85A0D">
        <w:rPr>
          <w:rFonts w:ascii="Arial" w:eastAsia="Arial" w:hAnsi="Arial" w:cs="Arial"/>
          <w:color w:val="000000"/>
          <w:sz w:val="20"/>
          <w:szCs w:val="22"/>
        </w:rPr>
        <w:t xml:space="preserve"> </w:t>
      </w:r>
      <w:r w:rsidRPr="00A85A0D">
        <w:rPr>
          <w:rFonts w:ascii="Arial" w:eastAsia="Arial" w:hAnsi="Arial" w:cs="Arial"/>
          <w:color w:val="000000"/>
          <w:sz w:val="20"/>
          <w:szCs w:val="22"/>
        </w:rPr>
        <w:tab/>
      </w:r>
      <w:r w:rsidRPr="00A85A0D">
        <w:rPr>
          <w:rFonts w:ascii="Calibri" w:eastAsia="Calibri" w:hAnsi="Calibri" w:cs="Calibri"/>
          <w:b/>
          <w:color w:val="000000"/>
          <w:sz w:val="20"/>
          <w:szCs w:val="22"/>
        </w:rPr>
        <w:t xml:space="preserve">You may seek damages from violators.  </w:t>
      </w:r>
      <w:r w:rsidRPr="00A85A0D">
        <w:rPr>
          <w:rFonts w:ascii="Calibri" w:eastAsia="Calibri" w:hAnsi="Calibri" w:cs="Calibri"/>
          <w:color w:val="000000"/>
          <w:sz w:val="20"/>
          <w:szCs w:val="22"/>
        </w:rPr>
        <w:t xml:space="preserve">If a CRA, or in some cases, a user of consumer reports or a furnisher of information to a CRA violates the NJFCRA, you may be able to sue in state court. </w:t>
      </w:r>
    </w:p>
    <w:bookmarkEnd w:id="13"/>
    <w:p w14:paraId="57F828AE"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663D7C3E" w14:textId="77777777" w:rsidR="00A85A0D" w:rsidRPr="00A85A0D" w:rsidRDefault="00A85A0D" w:rsidP="00A85A0D">
      <w:pPr>
        <w:spacing w:line="256" w:lineRule="auto"/>
        <w:ind w:left="-5" w:hanging="10"/>
        <w:rPr>
          <w:rFonts w:ascii="Calibri" w:eastAsia="Calibri" w:hAnsi="Calibri" w:cs="Calibri"/>
          <w:color w:val="000000"/>
          <w:sz w:val="20"/>
          <w:szCs w:val="22"/>
        </w:rPr>
      </w:pPr>
      <w:r w:rsidRPr="00A85A0D">
        <w:rPr>
          <w:rFonts w:ascii="Calibri" w:eastAsia="Calibri" w:hAnsi="Calibri" w:cs="Calibri"/>
          <w:b/>
          <w:color w:val="000000"/>
          <w:sz w:val="20"/>
          <w:szCs w:val="22"/>
        </w:rPr>
        <w:t xml:space="preserve">COMPLAINTS </w:t>
      </w:r>
    </w:p>
    <w:p w14:paraId="5FD438FA"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6B9AC295" w14:textId="77777777" w:rsidR="00A85A0D" w:rsidRPr="00A85A0D" w:rsidRDefault="00A85A0D" w:rsidP="00A85A0D">
      <w:pPr>
        <w:spacing w:line="256" w:lineRule="auto"/>
        <w:ind w:left="-5" w:hanging="10"/>
        <w:rPr>
          <w:rFonts w:ascii="Calibri" w:eastAsia="Calibri" w:hAnsi="Calibri" w:cs="Calibri"/>
          <w:color w:val="000000"/>
          <w:sz w:val="20"/>
          <w:szCs w:val="22"/>
        </w:rPr>
      </w:pPr>
      <w:r w:rsidRPr="00A85A0D">
        <w:rPr>
          <w:rFonts w:ascii="Calibri" w:eastAsia="Calibri" w:hAnsi="Calibri" w:cs="Calibri"/>
          <w:b/>
          <w:color w:val="000000"/>
          <w:sz w:val="20"/>
          <w:szCs w:val="22"/>
        </w:rPr>
        <w:t xml:space="preserve">DIVISION OF CONSUMER AFFAIRS </w:t>
      </w:r>
    </w:p>
    <w:p w14:paraId="2B27C052"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Department of Law and Public Safety </w:t>
      </w:r>
    </w:p>
    <w:p w14:paraId="2F09DCBC"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124 Halsey Street </w:t>
      </w:r>
    </w:p>
    <w:p w14:paraId="2865F50F"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Newark, NJ 07102 </w:t>
      </w:r>
    </w:p>
    <w:p w14:paraId="6A771557" w14:textId="77777777" w:rsidR="00A85A0D" w:rsidRPr="00A85A0D" w:rsidRDefault="00A85A0D" w:rsidP="00A85A0D">
      <w:pPr>
        <w:spacing w:after="4" w:line="247" w:lineRule="auto"/>
        <w:ind w:left="-5" w:right="273" w:hanging="10"/>
        <w:rPr>
          <w:rFonts w:ascii="Calibri" w:eastAsia="Calibri" w:hAnsi="Calibri" w:cs="Calibri"/>
          <w:color w:val="000000"/>
          <w:sz w:val="20"/>
          <w:szCs w:val="22"/>
        </w:rPr>
      </w:pPr>
      <w:r w:rsidRPr="00A85A0D">
        <w:rPr>
          <w:rFonts w:ascii="Calibri" w:eastAsia="Calibri" w:hAnsi="Calibri" w:cs="Calibri"/>
          <w:color w:val="000000"/>
          <w:sz w:val="20"/>
          <w:szCs w:val="22"/>
        </w:rPr>
        <w:t xml:space="preserve">Phone:   800‐242‐5846 </w:t>
      </w:r>
    </w:p>
    <w:p w14:paraId="757AA316" w14:textId="77777777" w:rsidR="00A85A0D" w:rsidRPr="00A85A0D" w:rsidRDefault="00A85A0D" w:rsidP="00A85A0D">
      <w:pPr>
        <w:tabs>
          <w:tab w:val="center" w:pos="1289"/>
        </w:tabs>
        <w:spacing w:after="4" w:line="247" w:lineRule="auto"/>
        <w:ind w:left="-15"/>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r w:rsidRPr="00A85A0D">
        <w:rPr>
          <w:rFonts w:ascii="Calibri" w:eastAsia="Calibri" w:hAnsi="Calibri" w:cs="Calibri"/>
          <w:color w:val="000000"/>
          <w:sz w:val="20"/>
          <w:szCs w:val="22"/>
        </w:rPr>
        <w:tab/>
        <w:t>973‐504‐6200</w:t>
      </w:r>
      <w:r w:rsidRPr="00A85A0D">
        <w:rPr>
          <w:rFonts w:ascii="Calibri" w:eastAsia="Calibri" w:hAnsi="Calibri" w:cs="Calibri"/>
          <w:b/>
          <w:color w:val="000000"/>
          <w:sz w:val="20"/>
          <w:szCs w:val="22"/>
        </w:rPr>
        <w:t xml:space="preserve"> </w:t>
      </w:r>
    </w:p>
    <w:p w14:paraId="7CCF8630" w14:textId="77777777" w:rsidR="00A85A0D" w:rsidRPr="00A85A0D" w:rsidRDefault="00A85A0D" w:rsidP="00A85A0D">
      <w:pPr>
        <w:spacing w:line="256" w:lineRule="auto"/>
        <w:rPr>
          <w:rFonts w:ascii="Calibri" w:eastAsia="Calibri" w:hAnsi="Calibri" w:cs="Calibri"/>
          <w:color w:val="000000"/>
          <w:sz w:val="20"/>
          <w:szCs w:val="22"/>
        </w:rPr>
      </w:pPr>
      <w:r w:rsidRPr="00A85A0D">
        <w:rPr>
          <w:rFonts w:ascii="Calibri" w:eastAsia="Calibri" w:hAnsi="Calibri" w:cs="Calibri"/>
          <w:color w:val="000000"/>
          <w:sz w:val="20"/>
          <w:szCs w:val="22"/>
        </w:rPr>
        <w:t xml:space="preserve"> </w:t>
      </w:r>
    </w:p>
    <w:p w14:paraId="405BE1BD" w14:textId="77777777" w:rsidR="008A46AC" w:rsidRPr="00A85A0D" w:rsidRDefault="008A46AC" w:rsidP="00A85A0D"/>
    <w:sectPr w:rsidR="008A46AC" w:rsidRPr="00A85A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667E" w14:textId="77777777" w:rsidR="00186FBD" w:rsidRDefault="00186FBD" w:rsidP="00BC37F0">
      <w:r>
        <w:separator/>
      </w:r>
    </w:p>
  </w:endnote>
  <w:endnote w:type="continuationSeparator" w:id="0">
    <w:p w14:paraId="7DC1B0D4" w14:textId="77777777" w:rsidR="00186FBD" w:rsidRDefault="00186FBD" w:rsidP="00BC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AD73" w14:textId="77777777" w:rsidR="00186FBD" w:rsidRDefault="00186FBD" w:rsidP="00BC37F0">
      <w:r>
        <w:separator/>
      </w:r>
    </w:p>
  </w:footnote>
  <w:footnote w:type="continuationSeparator" w:id="0">
    <w:p w14:paraId="05B4BE21" w14:textId="77777777" w:rsidR="00186FBD" w:rsidRDefault="00186FBD" w:rsidP="00BC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3656" w14:textId="77777777" w:rsidR="001A739D" w:rsidRPr="0020020F" w:rsidRDefault="001A739D" w:rsidP="001A739D">
    <w:pPr>
      <w:pStyle w:val="Header"/>
      <w:jc w:val="both"/>
      <w:rPr>
        <w:rFonts w:asciiTheme="minorHAnsi" w:hAnsiTheme="minorHAnsi"/>
        <w:b/>
        <w:i/>
        <w:sz w:val="16"/>
        <w:szCs w:val="16"/>
      </w:rPr>
    </w:pPr>
    <w:r w:rsidRPr="0020020F">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7C623DEE" w14:textId="77777777" w:rsidR="001A739D" w:rsidRPr="001A739D" w:rsidRDefault="001A739D" w:rsidP="001A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33AF6"/>
    <w:multiLevelType w:val="hybridMultilevel"/>
    <w:tmpl w:val="F442415A"/>
    <w:lvl w:ilvl="0" w:tplc="70ECB1D0">
      <w:numFmt w:val="bullet"/>
      <w:lvlText w:val="•"/>
      <w:lvlJc w:val="left"/>
      <w:pPr>
        <w:ind w:left="720" w:hanging="360"/>
      </w:pPr>
      <w:rPr>
        <w:rFonts w:ascii="Calibri" w:eastAsia="Times New Roman" w:hAnsi="Calibri"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53B38"/>
    <w:multiLevelType w:val="hybridMultilevel"/>
    <w:tmpl w:val="3FFC11D2"/>
    <w:lvl w:ilvl="0" w:tplc="24960ECA">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BD8094A">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F82D90C">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2CC121E">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16EC008">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592ECAA">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210475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9C055E4">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AE8AE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1148322938">
    <w:abstractNumId w:val="0"/>
  </w:num>
  <w:num w:numId="2" w16cid:durableId="118070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32"/>
    <w:rsid w:val="00186FBD"/>
    <w:rsid w:val="001A739D"/>
    <w:rsid w:val="0020419B"/>
    <w:rsid w:val="005C1C20"/>
    <w:rsid w:val="007A7E32"/>
    <w:rsid w:val="008A46AC"/>
    <w:rsid w:val="00A85A0D"/>
    <w:rsid w:val="00B815FC"/>
    <w:rsid w:val="00BC37F0"/>
    <w:rsid w:val="00E9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4533"/>
  <w15:chartTrackingRefBased/>
  <w15:docId w15:val="{A0538978-A605-4507-AC81-7803E8ED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7A7E32"/>
    <w:pPr>
      <w:spacing w:after="240"/>
    </w:pPr>
    <w:rPr>
      <w:rFonts w:eastAsia="Calibri"/>
      <w:szCs w:val="22"/>
    </w:rPr>
  </w:style>
  <w:style w:type="paragraph" w:styleId="ListParagraph">
    <w:name w:val="List Paragraph"/>
    <w:basedOn w:val="Normal"/>
    <w:uiPriority w:val="34"/>
    <w:qFormat/>
    <w:rsid w:val="007A7E32"/>
    <w:pPr>
      <w:ind w:left="720"/>
      <w:contextualSpacing/>
    </w:pPr>
  </w:style>
  <w:style w:type="paragraph" w:styleId="Header">
    <w:name w:val="header"/>
    <w:basedOn w:val="Normal"/>
    <w:link w:val="HeaderChar"/>
    <w:uiPriority w:val="99"/>
    <w:unhideWhenUsed/>
    <w:rsid w:val="00BC37F0"/>
    <w:pPr>
      <w:tabs>
        <w:tab w:val="center" w:pos="4680"/>
        <w:tab w:val="right" w:pos="9360"/>
      </w:tabs>
    </w:pPr>
  </w:style>
  <w:style w:type="character" w:customStyle="1" w:styleId="HeaderChar">
    <w:name w:val="Header Char"/>
    <w:basedOn w:val="DefaultParagraphFont"/>
    <w:link w:val="Header"/>
    <w:uiPriority w:val="99"/>
    <w:rsid w:val="00BC37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37F0"/>
    <w:pPr>
      <w:tabs>
        <w:tab w:val="center" w:pos="4680"/>
        <w:tab w:val="right" w:pos="9360"/>
      </w:tabs>
    </w:pPr>
  </w:style>
  <w:style w:type="character" w:customStyle="1" w:styleId="FooterChar">
    <w:name w:val="Footer Char"/>
    <w:basedOn w:val="DefaultParagraphFont"/>
    <w:link w:val="Footer"/>
    <w:uiPriority w:val="99"/>
    <w:rsid w:val="00BC37F0"/>
    <w:rPr>
      <w:rFonts w:ascii="Times New Roman" w:eastAsia="Times New Roman" w:hAnsi="Times New Roman" w:cs="Times New Roman"/>
      <w:sz w:val="24"/>
      <w:szCs w:val="24"/>
    </w:rPr>
  </w:style>
  <w:style w:type="paragraph" w:customStyle="1" w:styleId="Default">
    <w:name w:val="Default"/>
    <w:link w:val="DefaultChar"/>
    <w:rsid w:val="00BC3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BC37F0"/>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C1C20"/>
    <w:rPr>
      <w:color w:val="0563C1" w:themeColor="hyperlink"/>
      <w:u w:val="single"/>
    </w:rPr>
  </w:style>
  <w:style w:type="character" w:styleId="UnresolvedMention">
    <w:name w:val="Unresolved Mention"/>
    <w:basedOn w:val="DefaultParagraphFont"/>
    <w:uiPriority w:val="99"/>
    <w:semiHidden/>
    <w:unhideWhenUsed/>
    <w:rsid w:val="005C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9908">
      <w:bodyDiv w:val="1"/>
      <w:marLeft w:val="0"/>
      <w:marRight w:val="0"/>
      <w:marTop w:val="0"/>
      <w:marBottom w:val="0"/>
      <w:divBdr>
        <w:top w:val="none" w:sz="0" w:space="0" w:color="auto"/>
        <w:left w:val="none" w:sz="0" w:space="0" w:color="auto"/>
        <w:bottom w:val="none" w:sz="0" w:space="0" w:color="auto"/>
        <w:right w:val="none" w:sz="0" w:space="0" w:color="auto"/>
      </w:divBdr>
    </w:div>
    <w:div w:id="14964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gov" TargetMode="External"/><Relationship Id="rId3" Type="http://schemas.openxmlformats.org/officeDocument/2006/relationships/settings" Target="settings.xml"/><Relationship Id="rId7" Type="http://schemas.openxmlformats.org/officeDocument/2006/relationships/hyperlink" Target="http://www.njleg.state.nj.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xperian.com/free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Patricia Reilly</cp:lastModifiedBy>
  <cp:revision>3</cp:revision>
  <dcterms:created xsi:type="dcterms:W3CDTF">2023-12-05T21:22:00Z</dcterms:created>
  <dcterms:modified xsi:type="dcterms:W3CDTF">2023-12-05T21:24:00Z</dcterms:modified>
</cp:coreProperties>
</file>